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olor w:val="FF0000"/>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hint="eastAsia" w:ascii="Times New Roman" w:hAnsi="Times New Roman"/>
        </w:rPr>
        <w:t>2023-0</w:t>
      </w:r>
      <w:r>
        <w:rPr>
          <w:rFonts w:hint="eastAsia" w:ascii="Times New Roman" w:hAnsi="Times New Roman"/>
          <w:lang w:val="en-US" w:eastAsia="zh-CN"/>
        </w:rPr>
        <w:t>80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22225</wp:posOffset>
                </wp:positionV>
                <wp:extent cx="5417820" cy="22860"/>
                <wp:effectExtent l="0" t="28575" r="7620" b="40005"/>
                <wp:wrapNone/>
                <wp:docPr id="1" name="直线 4"/>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55pt;margin-top:1.75pt;height:1.8pt;width:426.6pt;z-index:251659264;mso-width-relative:page;mso-height-relative:page;" filled="f" stroked="t" coordsize="21600,21600" o:gfxdata="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J09EdUAAAAIAQAADwAAAAAAAAABACAAAAAiAAAAZHJzL2Rvd25yZXYueG1sUEsB&#10;AhQAFAAAAAgAh07iQK+t7N/4AQAA8AMAAA4AAAAAAAAAAQAgAAAAJAEAAGRycy9lMm9Eb2MueG1s&#10;UEsFBgAAAAAGAAYAWQEAAI4FAAAAAA==&#10;">
                <v:fill on="f" focussize="0,0"/>
                <v:stroke weight="4.5pt" color="#FF66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cs="宋体"/>
          <w:b/>
          <w:sz w:val="44"/>
          <w:szCs w:val="44"/>
        </w:rPr>
      </w:pPr>
      <w:r>
        <w:rPr>
          <w:rFonts w:hint="eastAsia" w:ascii="Times New Roman" w:hAnsi="Times New Roman" w:cs="宋体"/>
          <w:b/>
          <w:sz w:val="44"/>
          <w:szCs w:val="44"/>
        </w:rPr>
        <w:t>吉林电力股份有限公司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b/>
          <w:sz w:val="44"/>
          <w:szCs w:val="44"/>
        </w:rPr>
      </w:pPr>
      <w:r>
        <w:rPr>
          <w:rFonts w:hint="eastAsia" w:ascii="Times New Roman" w:hAnsi="Times New Roman" w:cs="宋体"/>
          <w:b/>
          <w:sz w:val="44"/>
          <w:szCs w:val="44"/>
        </w:rPr>
        <w:t>第九届监事会第</w:t>
      </w:r>
      <w:r>
        <w:rPr>
          <w:rFonts w:hint="eastAsia" w:ascii="Times New Roman" w:hAnsi="Times New Roman" w:cs="宋体"/>
          <w:b/>
          <w:sz w:val="44"/>
          <w:szCs w:val="44"/>
          <w:lang w:val="en-US" w:eastAsia="zh-CN"/>
        </w:rPr>
        <w:t>九</w:t>
      </w:r>
      <w:r>
        <w:rPr>
          <w:rFonts w:hint="eastAsia" w:ascii="Times New Roman" w:hAnsi="Times New Roman" w:cs="宋体"/>
          <w:b/>
          <w:sz w:val="44"/>
          <w:szCs w:val="44"/>
        </w:rPr>
        <w:t>次会议决议公告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本公司及监事会全体成员保证</w:t>
      </w:r>
      <w:r>
        <w:rPr>
          <w:rFonts w:hint="eastAsia" w:ascii="Times New Roman" w:hAnsi="Times New Roman" w:eastAsia="仿宋"/>
          <w:b/>
          <w:sz w:val="28"/>
          <w:szCs w:val="28"/>
        </w:rPr>
        <w:t>信息披露</w:t>
      </w:r>
      <w:r>
        <w:rPr>
          <w:rFonts w:ascii="Times New Roman" w:hAnsi="Times New Roman" w:eastAsia="仿宋"/>
          <w:b/>
          <w:sz w:val="28"/>
          <w:szCs w:val="28"/>
        </w:rPr>
        <w:t>内容的真实、准确</w:t>
      </w:r>
      <w:r>
        <w:rPr>
          <w:rFonts w:hint="eastAsia" w:ascii="Times New Roman" w:hAnsi="Times New Roman" w:eastAsia="仿宋"/>
          <w:b/>
          <w:sz w:val="28"/>
          <w:szCs w:val="28"/>
        </w:rPr>
        <w:t>和</w:t>
      </w:r>
      <w:r>
        <w:rPr>
          <w:rFonts w:ascii="Times New Roman" w:hAnsi="Times New Roman" w:eastAsia="仿宋"/>
          <w:b/>
          <w:sz w:val="28"/>
          <w:szCs w:val="28"/>
        </w:rPr>
        <w:t>完整，没有虚假记载、误导性陈述或重大遗漏。</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
          <w:sz w:val="32"/>
          <w:szCs w:val="32"/>
        </w:rPr>
      </w:pP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一、监事会会议召开情况</w:t>
      </w:r>
      <w:bookmarkStart w:id="0" w:name="_GoBack"/>
      <w:bookmarkEnd w:id="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ascii="Times New Roman" w:hAnsi="Times New Roman" w:eastAsia="仿宋"/>
          <w:sz w:val="28"/>
          <w:szCs w:val="28"/>
        </w:rPr>
        <w:t>1.吉林电力股份有限公司第</w:t>
      </w:r>
      <w:r>
        <w:rPr>
          <w:rFonts w:hint="eastAsia" w:ascii="Times New Roman" w:hAnsi="Times New Roman" w:eastAsia="仿宋"/>
          <w:sz w:val="28"/>
          <w:szCs w:val="28"/>
        </w:rPr>
        <w:t>九</w:t>
      </w:r>
      <w:r>
        <w:rPr>
          <w:rFonts w:ascii="Times New Roman" w:hAnsi="Times New Roman" w:eastAsia="仿宋"/>
          <w:sz w:val="28"/>
          <w:szCs w:val="28"/>
        </w:rPr>
        <w:t>届监事会第</w:t>
      </w:r>
      <w:r>
        <w:rPr>
          <w:rFonts w:hint="eastAsia" w:ascii="Times New Roman" w:hAnsi="Times New Roman" w:eastAsia="仿宋"/>
          <w:sz w:val="28"/>
          <w:szCs w:val="28"/>
          <w:lang w:val="en-US" w:eastAsia="zh-CN"/>
        </w:rPr>
        <w:t>九</w:t>
      </w:r>
      <w:r>
        <w:rPr>
          <w:rFonts w:ascii="Times New Roman" w:hAnsi="Times New Roman" w:eastAsia="仿宋"/>
          <w:sz w:val="28"/>
          <w:szCs w:val="28"/>
        </w:rPr>
        <w:t>次会议通知于</w:t>
      </w: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月1日以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ascii="Times New Roman" w:hAnsi="Times New Roman" w:eastAsia="仿宋"/>
          <w:sz w:val="28"/>
          <w:szCs w:val="28"/>
        </w:rPr>
      </w:pPr>
      <w:r>
        <w:rPr>
          <w:rFonts w:ascii="Times New Roman" w:hAnsi="Times New Roman" w:eastAsia="仿宋"/>
          <w:sz w:val="28"/>
          <w:szCs w:val="28"/>
        </w:rPr>
        <w:t xml:space="preserve">2.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日</w:t>
      </w:r>
      <w:r>
        <w:rPr>
          <w:rFonts w:ascii="Times New Roman" w:hAnsi="Times New Roman" w:eastAsia="仿宋"/>
          <w:sz w:val="28"/>
          <w:szCs w:val="28"/>
        </w:rPr>
        <w:t>，第</w:t>
      </w:r>
      <w:r>
        <w:rPr>
          <w:rFonts w:hint="eastAsia" w:ascii="Times New Roman" w:hAnsi="Times New Roman" w:eastAsia="仿宋"/>
          <w:sz w:val="28"/>
          <w:szCs w:val="28"/>
        </w:rPr>
        <w:t>九</w:t>
      </w:r>
      <w:r>
        <w:rPr>
          <w:rFonts w:ascii="Times New Roman" w:hAnsi="Times New Roman" w:eastAsia="仿宋"/>
          <w:sz w:val="28"/>
          <w:szCs w:val="28"/>
        </w:rPr>
        <w:t>届监事会第</w:t>
      </w:r>
      <w:r>
        <w:rPr>
          <w:rFonts w:hint="eastAsia" w:ascii="Times New Roman" w:hAnsi="Times New Roman" w:eastAsia="仿宋"/>
          <w:sz w:val="28"/>
          <w:szCs w:val="28"/>
          <w:lang w:val="en-US" w:eastAsia="zh-CN"/>
        </w:rPr>
        <w:t>九</w:t>
      </w:r>
      <w:r>
        <w:rPr>
          <w:rFonts w:ascii="Times New Roman" w:hAnsi="Times New Roman" w:eastAsia="仿宋"/>
          <w:sz w:val="28"/>
          <w:szCs w:val="28"/>
        </w:rPr>
        <w:t>次会议</w:t>
      </w:r>
      <w:r>
        <w:rPr>
          <w:rFonts w:hint="default" w:ascii="Times New Roman" w:hAnsi="Times New Roman" w:eastAsia="仿宋" w:cs="Times New Roman"/>
          <w:sz w:val="28"/>
          <w:szCs w:val="28"/>
          <w:lang w:eastAsia="zh-CN"/>
        </w:rPr>
        <w:t>在公司三楼会议室以</w:t>
      </w:r>
      <w:r>
        <w:rPr>
          <w:rFonts w:hint="eastAsia" w:hAnsi="仿宋" w:eastAsia="仿宋"/>
          <w:sz w:val="28"/>
          <w:szCs w:val="28"/>
        </w:rPr>
        <w:t>现场会议方式召开</w:t>
      </w:r>
      <w:r>
        <w:rPr>
          <w:rFonts w:hint="default" w:ascii="Times New Roman" w:hAnsi="Times New Roman" w:eastAsia="仿宋" w:cs="Times New Roman"/>
          <w:sz w:val="28"/>
          <w:szCs w:val="28"/>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80" w:lineRule="exact"/>
        <w:ind w:firstLine="560" w:firstLineChars="200"/>
        <w:textAlignment w:val="auto"/>
        <w:rPr>
          <w:rFonts w:ascii="Times New Roman" w:hAnsi="Times New Roman" w:eastAsia="仿宋"/>
          <w:color w:val="000000"/>
          <w:kern w:val="0"/>
          <w:sz w:val="28"/>
          <w:szCs w:val="28"/>
        </w:rPr>
      </w:pPr>
      <w:r>
        <w:rPr>
          <w:rFonts w:ascii="Times New Roman" w:hAnsi="Times New Roman" w:eastAsia="仿宋"/>
          <w:sz w:val="28"/>
          <w:szCs w:val="28"/>
          <w:lang w:bidi="ar"/>
        </w:rPr>
        <w:t>3.</w:t>
      </w:r>
      <w:r>
        <w:rPr>
          <w:rFonts w:hint="eastAsia" w:ascii="Times New Roman" w:hAnsi="Times New Roman" w:eastAsia="仿宋" w:cs="仿宋"/>
          <w:color w:val="000000"/>
          <w:kern w:val="0"/>
          <w:sz w:val="28"/>
          <w:szCs w:val="28"/>
          <w:lang w:bidi="ar"/>
        </w:rPr>
        <w:t>公司应参会的监事</w:t>
      </w:r>
      <w:r>
        <w:rPr>
          <w:rFonts w:hint="eastAsia" w:ascii="Times New Roman" w:hAnsi="Times New Roman" w:eastAsia="仿宋"/>
          <w:color w:val="000000"/>
          <w:kern w:val="0"/>
          <w:sz w:val="28"/>
          <w:szCs w:val="28"/>
          <w:lang w:val="en-US" w:eastAsia="zh-CN" w:bidi="ar"/>
        </w:rPr>
        <w:t>4</w:t>
      </w:r>
      <w:r>
        <w:rPr>
          <w:rFonts w:hint="eastAsia" w:ascii="Times New Roman" w:hAnsi="Times New Roman" w:eastAsia="仿宋" w:cs="仿宋"/>
          <w:color w:val="000000"/>
          <w:kern w:val="0"/>
          <w:sz w:val="28"/>
          <w:szCs w:val="28"/>
          <w:lang w:bidi="ar"/>
        </w:rPr>
        <w:t>人，实参会监事</w:t>
      </w:r>
      <w:r>
        <w:rPr>
          <w:rFonts w:hint="eastAsia" w:ascii="Times New Roman" w:hAnsi="Times New Roman" w:eastAsia="仿宋"/>
          <w:color w:val="000000"/>
          <w:kern w:val="0"/>
          <w:sz w:val="28"/>
          <w:szCs w:val="28"/>
          <w:lang w:val="en-US" w:eastAsia="zh-CN" w:bidi="ar"/>
        </w:rPr>
        <w:t>3</w:t>
      </w:r>
      <w:r>
        <w:rPr>
          <w:rFonts w:hint="eastAsia" w:ascii="Times New Roman" w:hAnsi="Times New Roman" w:eastAsia="仿宋" w:cs="仿宋"/>
          <w:color w:val="000000"/>
          <w:kern w:val="0"/>
          <w:sz w:val="28"/>
          <w:szCs w:val="28"/>
          <w:lang w:bidi="ar"/>
        </w:rPr>
        <w:t>人</w:t>
      </w:r>
      <w:r>
        <w:rPr>
          <w:rFonts w:hint="eastAsia" w:ascii="Times New Roman" w:hAnsi="Times New Roman" w:eastAsia="仿宋" w:cs="仿宋"/>
          <w:color w:val="000000"/>
          <w:kern w:val="0"/>
          <w:sz w:val="28"/>
          <w:szCs w:val="28"/>
          <w:lang w:eastAsia="zh-CN" w:bidi="ar"/>
        </w:rPr>
        <w:t>。</w:t>
      </w:r>
      <w:r>
        <w:rPr>
          <w:rFonts w:hint="eastAsia" w:ascii="Times New Roman" w:hAnsi="Times New Roman" w:eastAsia="仿宋" w:cs="仿宋"/>
          <w:color w:val="000000"/>
          <w:kern w:val="0"/>
          <w:sz w:val="28"/>
          <w:szCs w:val="28"/>
          <w:lang w:bidi="ar"/>
        </w:rPr>
        <w:t>监事孔辉先生因公无法出席，全权委托监事杨青春先生代为表决。</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80" w:lineRule="exact"/>
        <w:ind w:firstLine="560" w:firstLineChars="200"/>
        <w:jc w:val="left"/>
        <w:textAlignment w:val="auto"/>
        <w:rPr>
          <w:rFonts w:ascii="Times New Roman" w:hAnsi="Times New Roman" w:eastAsia="仿宋_GB2312"/>
          <w:sz w:val="28"/>
          <w:szCs w:val="28"/>
        </w:rPr>
      </w:pPr>
      <w:r>
        <w:rPr>
          <w:rFonts w:hint="eastAsia" w:ascii="Times New Roman" w:hAnsi="Times New Roman" w:eastAsia="仿宋"/>
          <w:color w:val="000000"/>
          <w:kern w:val="0"/>
          <w:sz w:val="28"/>
          <w:szCs w:val="28"/>
        </w:rPr>
        <w:t>4.</w:t>
      </w:r>
      <w:r>
        <w:rPr>
          <w:rFonts w:ascii="Times New Roman" w:hAnsi="Times New Roman" w:eastAsia="仿宋_GB2312"/>
          <w:sz w:val="28"/>
          <w:szCs w:val="28"/>
        </w:rPr>
        <w:t>会议由监事会</w:t>
      </w:r>
      <w:r>
        <w:rPr>
          <w:rFonts w:hint="eastAsia" w:ascii="Times New Roman" w:hAnsi="Times New Roman" w:eastAsia="仿宋_GB2312"/>
          <w:sz w:val="28"/>
          <w:szCs w:val="28"/>
        </w:rPr>
        <w:t>主席徐祖永</w:t>
      </w:r>
      <w:r>
        <w:rPr>
          <w:rFonts w:ascii="Times New Roman" w:hAnsi="Times New Roman" w:eastAsia="仿宋_GB2312"/>
          <w:sz w:val="28"/>
          <w:szCs w:val="28"/>
        </w:rPr>
        <w:t>先生主持。</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5.</w:t>
      </w:r>
      <w:r>
        <w:rPr>
          <w:rFonts w:ascii="Times New Roman" w:hAnsi="Times New Roman" w:eastAsia="仿宋"/>
          <w:sz w:val="28"/>
          <w:szCs w:val="28"/>
        </w:rPr>
        <w:t>出席会议的监事占公司全体监事人数的二分之一以上，符合《公司法》及公司《章程》的规定。</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二、监事会会议审议情况</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（一）关于公司与实际控制人所属企业发生关联交易的议案</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1.关于拟接受电能易购（北京）科技有限公司提供物资配送暨关联交易的议案</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sz w:val="28"/>
          <w:szCs w:val="28"/>
          <w:highlight w:val="none"/>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4</w:t>
      </w:r>
      <w:r>
        <w:rPr>
          <w:rFonts w:ascii="Times New Roman" w:hAnsi="Times New Roman" w:eastAsia="仿宋"/>
          <w:sz w:val="28"/>
          <w:szCs w:val="28"/>
        </w:rPr>
        <w:t>票赞同、0票反对、0票弃权，审议</w:t>
      </w:r>
      <w:r>
        <w:rPr>
          <w:rFonts w:hint="eastAsia" w:ascii="Times New Roman" w:hAnsi="Times New Roman" w:eastAsia="仿宋" w:cs="仿宋"/>
          <w:sz w:val="28"/>
          <w:szCs w:val="28"/>
        </w:rPr>
        <w:t>通过了《</w:t>
      </w:r>
      <w:r>
        <w:rPr>
          <w:rFonts w:hint="eastAsia" w:ascii="Times New Roman" w:hAnsi="Times New Roman" w:eastAsia="仿宋" w:cs="Times New Roman"/>
          <w:sz w:val="28"/>
          <w:szCs w:val="28"/>
          <w:highlight w:val="none"/>
          <w:lang w:val="en-US" w:eastAsia="zh-CN"/>
        </w:rPr>
        <w:t>关于拟接受电能易购（北京）科技有限公司提供物资配送暨关联交易的议案</w:t>
      </w:r>
      <w:r>
        <w:rPr>
          <w:rFonts w:hint="eastAsia" w:ascii="Times New Roman" w:hAnsi="Times New Roman" w:eastAsia="仿宋" w:cs="仿宋"/>
          <w:sz w:val="28"/>
          <w:szCs w:val="28"/>
        </w:rPr>
        <w:t>》，</w:t>
      </w:r>
      <w:r>
        <w:rPr>
          <w:rFonts w:hint="eastAsia" w:ascii="Times New Roman" w:hAnsi="Times New Roman" w:eastAsia="仿宋" w:cs="仿宋"/>
          <w:color w:val="000000"/>
          <w:sz w:val="28"/>
          <w:szCs w:val="28"/>
          <w:highlight w:val="none"/>
        </w:rPr>
        <w:t>同意</w:t>
      </w:r>
      <w:r>
        <w:rPr>
          <w:rFonts w:ascii="Times New Roman" w:eastAsia="仿宋" w:cs="Times New Roman"/>
          <w:sz w:val="28"/>
          <w:szCs w:val="28"/>
          <w:highlight w:val="none"/>
        </w:rPr>
        <w:t>公司接受</w:t>
      </w:r>
      <w:r>
        <w:rPr>
          <w:rFonts w:hint="eastAsia" w:eastAsia="仿宋_GB2312"/>
          <w:kern w:val="28"/>
          <w:sz w:val="28"/>
          <w:szCs w:val="28"/>
          <w:highlight w:val="none"/>
        </w:rPr>
        <w:t>电能易购（北京）科技有限公司</w:t>
      </w:r>
      <w:r>
        <w:rPr>
          <w:rFonts w:hint="eastAsia" w:ascii="Times New Roman" w:eastAsia="仿宋" w:cs="Times New Roman"/>
          <w:sz w:val="28"/>
          <w:szCs w:val="28"/>
          <w:highlight w:val="none"/>
          <w:lang w:val="en-US" w:eastAsia="zh-CN"/>
        </w:rPr>
        <w:t>采购</w:t>
      </w:r>
      <w:r>
        <w:rPr>
          <w:rFonts w:ascii="Times New Roman" w:eastAsia="仿宋" w:cs="Times New Roman"/>
          <w:sz w:val="28"/>
          <w:szCs w:val="28"/>
          <w:highlight w:val="none"/>
        </w:rPr>
        <w:t>配送，</w:t>
      </w:r>
      <w:r>
        <w:rPr>
          <w:rFonts w:hint="eastAsia" w:ascii="Times New Roman" w:eastAsia="仿宋" w:cs="Times New Roman"/>
          <w:sz w:val="28"/>
          <w:szCs w:val="28"/>
          <w:highlight w:val="none"/>
        </w:rPr>
        <w:t>购买逆变器、组件、通用工业品、办公物资、阀门等</w:t>
      </w:r>
      <w:r>
        <w:rPr>
          <w:rFonts w:hint="eastAsia" w:ascii="Times New Roman" w:eastAsia="仿宋" w:cs="Times New Roman"/>
          <w:sz w:val="28"/>
          <w:szCs w:val="28"/>
          <w:highlight w:val="none"/>
          <w:lang w:eastAsia="zh-CN"/>
        </w:rPr>
        <w:t>，</w:t>
      </w:r>
      <w:r>
        <w:rPr>
          <w:rFonts w:hint="eastAsia" w:ascii="Times New Roman" w:eastAsia="仿宋" w:cs="Times New Roman"/>
          <w:sz w:val="28"/>
          <w:szCs w:val="28"/>
          <w:highlight w:val="none"/>
        </w:rPr>
        <w:t>关联交易额预计为21</w:t>
      </w:r>
      <w:r>
        <w:rPr>
          <w:rFonts w:hint="eastAsia" w:ascii="Times New Roman" w:eastAsia="仿宋" w:cs="Times New Roman"/>
          <w:sz w:val="28"/>
          <w:szCs w:val="28"/>
          <w:highlight w:val="none"/>
          <w:lang w:val="en-US" w:eastAsia="zh-CN"/>
        </w:rPr>
        <w:t>,</w:t>
      </w:r>
      <w:r>
        <w:rPr>
          <w:rFonts w:hint="eastAsia" w:ascii="Times New Roman" w:eastAsia="仿宋" w:cs="Times New Roman"/>
          <w:sz w:val="28"/>
          <w:szCs w:val="28"/>
          <w:highlight w:val="none"/>
        </w:rPr>
        <w:t>378.84万元</w:t>
      </w:r>
      <w:r>
        <w:rPr>
          <w:rFonts w:ascii="Times New Roman" w:eastAsia="仿宋" w:cs="Times New Roman"/>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b w:val="0"/>
          <w:bCs/>
          <w:kern w:val="2"/>
          <w:sz w:val="28"/>
          <w:szCs w:val="28"/>
          <w:lang w:val="en-US" w:eastAsia="zh-CN" w:bidi="ar-SA"/>
        </w:rPr>
      </w:pPr>
      <w:r>
        <w:rPr>
          <w:rFonts w:hint="eastAsia" w:ascii="Times New Roman" w:hAnsi="Times New Roman" w:eastAsia="仿宋" w:cs="Times New Roman"/>
          <w:b w:val="0"/>
          <w:bCs/>
          <w:kern w:val="2"/>
          <w:sz w:val="28"/>
          <w:szCs w:val="28"/>
          <w:lang w:val="en-US" w:eastAsia="zh-CN" w:bidi="ar-SA"/>
        </w:rPr>
        <w:t>监事会认为：公司董事会在审议此议案时，关联董事李铁证先生和廖剑波先生履行了回避表决，董事会审议程序符合相关规定，独立董事发表了书面独立意见。</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b/>
          <w:bCs/>
          <w:color w:val="000000"/>
          <w:sz w:val="28"/>
          <w:szCs w:val="28"/>
        </w:rPr>
      </w:pPr>
      <w:r>
        <w:rPr>
          <w:rFonts w:hint="eastAsia" w:ascii="Times New Roman" w:hAnsi="Times New Roman" w:eastAsia="仿宋"/>
          <w:b/>
          <w:bCs/>
          <w:sz w:val="28"/>
          <w:szCs w:val="28"/>
        </w:rPr>
        <w:t>2.关于公司全资子公司拟接受上海能源科技发展有限公司提供吉西基地鲁固直流140万千瓦外送项目</w:t>
      </w:r>
      <w:r>
        <w:rPr>
          <w:rFonts w:hint="eastAsia" w:ascii="Times New Roman" w:hAnsi="Times New Roman" w:eastAsia="仿宋"/>
          <w:b/>
          <w:bCs/>
          <w:sz w:val="28"/>
          <w:szCs w:val="28"/>
          <w:lang w:val="en-US" w:eastAsia="zh-CN"/>
        </w:rPr>
        <w:t>1-1</w:t>
      </w:r>
      <w:r>
        <w:rPr>
          <w:rFonts w:hint="eastAsia" w:ascii="Times New Roman" w:hAnsi="Times New Roman" w:eastAsia="仿宋"/>
          <w:b/>
          <w:bCs/>
          <w:sz w:val="28"/>
          <w:szCs w:val="28"/>
        </w:rPr>
        <w:t>（光伏100MW）PC总承包服务暨关联交易的议案</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4</w:t>
      </w:r>
      <w:r>
        <w:rPr>
          <w:rFonts w:ascii="Times New Roman" w:hAnsi="Times New Roman" w:eastAsia="仿宋"/>
          <w:sz w:val="28"/>
          <w:szCs w:val="28"/>
        </w:rPr>
        <w:t>票赞同、0票反对、0票弃权，</w:t>
      </w:r>
      <w:r>
        <w:rPr>
          <w:rFonts w:hint="eastAsia" w:ascii="Times New Roman" w:hAnsi="Times New Roman" w:eastAsia="仿宋" w:cs="仿宋"/>
          <w:sz w:val="28"/>
          <w:szCs w:val="28"/>
        </w:rPr>
        <w:t>审议通过了《关于公司全资子公司拟接受上海能源科技发展有限公司提供吉西基地鲁固直流140万千瓦外送项目</w:t>
      </w: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rPr>
        <w:t>（光伏100MW）PC总承包服务暨关联交易的议案</w:t>
      </w:r>
      <w:r>
        <w:rPr>
          <w:rFonts w:ascii="Times New Roman" w:hAnsi="Times New Roman" w:eastAsia="仿宋"/>
          <w:sz w:val="28"/>
          <w:szCs w:val="28"/>
        </w:rPr>
        <w:t>》</w:t>
      </w:r>
      <w:r>
        <w:rPr>
          <w:rFonts w:hint="eastAsia" w:ascii="Times New Roman" w:hAnsi="Times New Roman" w:eastAsia="仿宋"/>
          <w:sz w:val="28"/>
          <w:szCs w:val="28"/>
        </w:rPr>
        <w:t>，同意公司全资子公司通榆吉电新能源有限公司与上海能源科技发展有限公司签订吉西基地鲁固直流140万千瓦外送项目</w:t>
      </w:r>
      <w:r>
        <w:rPr>
          <w:rFonts w:hint="eastAsia" w:ascii="Times New Roman" w:hAnsi="Times New Roman" w:eastAsia="仿宋" w:cs="仿宋"/>
          <w:sz w:val="28"/>
          <w:szCs w:val="28"/>
          <w:lang w:val="en-US" w:eastAsia="zh-CN"/>
        </w:rPr>
        <w:t>1-1</w:t>
      </w:r>
      <w:r>
        <w:rPr>
          <w:rFonts w:hint="eastAsia" w:ascii="Times New Roman" w:hAnsi="Times New Roman" w:eastAsia="仿宋"/>
          <w:sz w:val="28"/>
          <w:szCs w:val="28"/>
        </w:rPr>
        <w:t>（光伏100MW）PC总承包合同，合同总价31,551.87万元。</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Times New Roman" w:hAnsi="Times New Roman" w:eastAsia="仿宋"/>
          <w:sz w:val="28"/>
          <w:szCs w:val="28"/>
        </w:rPr>
      </w:pPr>
      <w:r>
        <w:rPr>
          <w:rFonts w:hint="eastAsia" w:ascii="Times New Roman" w:hAnsi="Times New Roman" w:eastAsia="仿宋" w:cs="Times New Roman"/>
          <w:b w:val="0"/>
          <w:bCs/>
          <w:kern w:val="2"/>
          <w:sz w:val="28"/>
          <w:szCs w:val="28"/>
          <w:lang w:val="en-US" w:eastAsia="zh-CN" w:bidi="ar-SA"/>
        </w:rPr>
        <w:t>监事会认为：公司董事会在审议此议案时，关联董事李铁证先生和廖剑波先生履行了回避表决，董事会审议程序符合相关规定，独立董事发表了书面独立意见。</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rPr>
        <w:t>3.关于公司全资子公司拟接受上海能源科技发展有限公司提供大安风光制绿氢合成氨一体化示范项目配套100MW光伏项目PC总承包服务暨关联交易的议案</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Cs/>
          <w:sz w:val="28"/>
          <w:szCs w:val="28"/>
          <w:lang w:eastAsia="zh-CN"/>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4</w:t>
      </w:r>
      <w:r>
        <w:rPr>
          <w:rFonts w:ascii="Times New Roman" w:hAnsi="Times New Roman" w:eastAsia="仿宋"/>
          <w:sz w:val="28"/>
          <w:szCs w:val="28"/>
        </w:rPr>
        <w:t>票赞同、0票反对、0票弃权，审议通过了</w:t>
      </w:r>
      <w:r>
        <w:rPr>
          <w:rFonts w:ascii="Times New Roman" w:hAnsi="Times New Roman" w:eastAsia="仿宋"/>
          <w:bCs/>
          <w:sz w:val="28"/>
          <w:szCs w:val="28"/>
        </w:rPr>
        <w:t>《</w:t>
      </w:r>
      <w:r>
        <w:rPr>
          <w:rFonts w:hint="default" w:ascii="Times New Roman" w:hAnsi="Times New Roman" w:eastAsia="仿宋" w:cs="Times New Roman"/>
          <w:b w:val="0"/>
          <w:sz w:val="28"/>
          <w:szCs w:val="28"/>
        </w:rPr>
        <w:t>关于公司全资子公司拟接受上海能源科技发展有限公司提供大安风光制绿氢合成氨一体化示范项目配套100MW光伏项目PC总承包服务暨关联交易的议案</w:t>
      </w:r>
      <w:r>
        <w:rPr>
          <w:rFonts w:ascii="Times New Roman" w:hAnsi="Times New Roman" w:eastAsia="仿宋"/>
          <w:bCs/>
          <w:sz w:val="28"/>
          <w:szCs w:val="28"/>
        </w:rPr>
        <w:t>》，</w:t>
      </w:r>
      <w:r>
        <w:rPr>
          <w:rFonts w:hint="eastAsia" w:ascii="Times New Roman" w:hAnsi="Times New Roman" w:eastAsia="仿宋"/>
          <w:sz w:val="28"/>
          <w:szCs w:val="28"/>
        </w:rPr>
        <w:t>同意公司全资子公司大安吉电绿氢能源有限公司与上海能源科技发展有限公司签订大安风光制绿氢合成氨一体化示范项目配套100MW光伏项目PC总承包合同，合同总价36,783.035万元</w:t>
      </w:r>
      <w:r>
        <w:rPr>
          <w:rFonts w:hint="eastAsia" w:ascii="Times New Roman" w:hAnsi="Times New Roman" w:eastAsia="仿宋"/>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b w:val="0"/>
          <w:bCs/>
          <w:kern w:val="2"/>
          <w:sz w:val="28"/>
          <w:szCs w:val="28"/>
          <w:lang w:val="en-US" w:eastAsia="zh-CN" w:bidi="ar-SA"/>
        </w:rPr>
      </w:pPr>
      <w:r>
        <w:rPr>
          <w:rFonts w:hint="eastAsia" w:ascii="Times New Roman" w:hAnsi="Times New Roman" w:eastAsia="仿宋" w:cs="Times New Roman"/>
          <w:b w:val="0"/>
          <w:bCs/>
          <w:kern w:val="2"/>
          <w:sz w:val="28"/>
          <w:szCs w:val="28"/>
          <w:lang w:val="en-US" w:eastAsia="zh-CN" w:bidi="ar-SA"/>
        </w:rPr>
        <w:t>监事会认为：公司董事会在审议此议案时，关联董事李铁证先生和廖剑波先生履行了回避表决，董事会审议程序符合相关规定，独立董事发表了书面独立意见。</w:t>
      </w:r>
    </w:p>
    <w:p>
      <w:pPr>
        <w:keepNext w:val="0"/>
        <w:keepLines w:val="0"/>
        <w:pageBreakBefore w:val="0"/>
        <w:numPr>
          <w:ilvl w:val="0"/>
          <w:numId w:val="1"/>
        </w:numPr>
        <w:kinsoku/>
        <w:wordWrap/>
        <w:overflowPunct/>
        <w:topLinePunct w:val="0"/>
        <w:bidi w:val="0"/>
        <w:spacing w:line="580" w:lineRule="exact"/>
        <w:ind w:firstLine="562" w:firstLineChars="200"/>
        <w:textAlignment w:val="auto"/>
        <w:rPr>
          <w:rFonts w:hint="eastAsia"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关于公司全资子公司拟接受山东电力工程咨询院有限公司提供大安规模化风光直流离网制氢创新示范项目EPC工程总承包服务暨关联交易的议案</w:t>
      </w:r>
    </w:p>
    <w:p>
      <w:pPr>
        <w:keepNext w:val="0"/>
        <w:keepLines w:val="0"/>
        <w:pageBreakBefore w:val="0"/>
        <w:numPr>
          <w:ilvl w:val="0"/>
          <w:numId w:val="0"/>
        </w:numPr>
        <w:kinsoku/>
        <w:wordWrap/>
        <w:overflowPunct/>
        <w:topLinePunct w:val="0"/>
        <w:bidi w:val="0"/>
        <w:spacing w:line="580" w:lineRule="exact"/>
        <w:ind w:firstLine="560" w:firstLineChars="200"/>
        <w:textAlignment w:val="auto"/>
        <w:rPr>
          <w:rFonts w:hint="eastAsia" w:ascii="Times New Roman" w:hAnsi="Times New Roman" w:eastAsia="仿宋" w:cs="仿宋"/>
          <w:bCs/>
          <w:sz w:val="28"/>
          <w:szCs w:val="28"/>
          <w:lang w:eastAsia="zh-CN"/>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4</w:t>
      </w:r>
      <w:r>
        <w:rPr>
          <w:rFonts w:ascii="Times New Roman" w:hAnsi="Times New Roman" w:eastAsia="仿宋"/>
          <w:sz w:val="28"/>
          <w:szCs w:val="28"/>
        </w:rPr>
        <w:t>票赞同、0票反对、0票弃权，审议通过了</w:t>
      </w:r>
      <w:r>
        <w:rPr>
          <w:rFonts w:ascii="Times New Roman" w:hAnsi="Times New Roman" w:eastAsia="仿宋"/>
          <w:bCs/>
          <w:sz w:val="28"/>
          <w:szCs w:val="28"/>
        </w:rPr>
        <w:t>《</w:t>
      </w:r>
      <w:r>
        <w:rPr>
          <w:rFonts w:hint="eastAsia" w:ascii="Times New Roman" w:hAnsi="Times New Roman" w:eastAsia="仿宋"/>
          <w:bCs/>
          <w:sz w:val="28"/>
          <w:szCs w:val="28"/>
        </w:rPr>
        <w:t>关于公司全资子公司拟接受山东电力工程咨询院有限公司提供大安规模化风光直流离网制氢创新示范项目EPC工程总承包服务暨关联交易的议案</w:t>
      </w:r>
      <w:r>
        <w:rPr>
          <w:rFonts w:ascii="Times New Roman" w:hAnsi="Times New Roman" w:eastAsia="仿宋"/>
          <w:bCs/>
          <w:sz w:val="28"/>
          <w:szCs w:val="28"/>
        </w:rPr>
        <w:t>》，</w:t>
      </w:r>
      <w:r>
        <w:rPr>
          <w:rFonts w:hint="eastAsia" w:ascii="Times New Roman" w:hAnsi="Times New Roman" w:eastAsia="仿宋"/>
          <w:bCs/>
          <w:sz w:val="28"/>
          <w:szCs w:val="28"/>
        </w:rPr>
        <w:t>同意公司全资子公司大安吉电绿氢能源有限公司与山东电力工程咨询院有限公司签订大安规模化风光直流离网制氢创新示范项目EPC工程总承包合同，合同总价29,523万元。</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Times New Roman"/>
          <w:b w:val="0"/>
          <w:bCs/>
          <w:kern w:val="2"/>
          <w:sz w:val="28"/>
          <w:szCs w:val="28"/>
          <w:lang w:val="en-US" w:eastAsia="zh-CN" w:bidi="ar-SA"/>
        </w:rPr>
      </w:pPr>
      <w:r>
        <w:rPr>
          <w:rFonts w:hint="eastAsia" w:ascii="Times New Roman" w:hAnsi="Times New Roman" w:eastAsia="仿宋" w:cs="Times New Roman"/>
          <w:b w:val="0"/>
          <w:bCs/>
          <w:kern w:val="2"/>
          <w:sz w:val="28"/>
          <w:szCs w:val="28"/>
          <w:lang w:val="en-US" w:eastAsia="zh-CN" w:bidi="ar-SA"/>
        </w:rPr>
        <w:t>监事会认为：公司董事会在审议此议案时，关联董事李铁证先生和廖剑波先生履行了回避表决，董事会审议程序符合相关规定，独立董事发表了书面独立意见。</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sz w:val="28"/>
          <w:szCs w:val="28"/>
          <w:highlight w:val="none"/>
        </w:rPr>
      </w:pPr>
      <w:r>
        <w:rPr>
          <w:rFonts w:hint="eastAsia" w:ascii="Times New Roman" w:hAnsi="Times New Roman" w:eastAsia="仿宋" w:cs="仿宋"/>
          <w:bCs/>
          <w:color w:val="000000"/>
          <w:sz w:val="28"/>
          <w:szCs w:val="28"/>
          <w:highlight w:val="none"/>
          <w:lang w:val="en-US" w:eastAsia="zh-CN"/>
        </w:rPr>
        <w:t>上述</w:t>
      </w:r>
      <w:r>
        <w:rPr>
          <w:rFonts w:hint="eastAsia" w:ascii="Times New Roman" w:hAnsi="Times New Roman" w:eastAsia="仿宋" w:cs="仿宋"/>
          <w:bCs/>
          <w:color w:val="000000"/>
          <w:sz w:val="28"/>
          <w:szCs w:val="28"/>
          <w:highlight w:val="none"/>
        </w:rPr>
        <w:t>议案需提交股东大会审议。</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ascii="Times New Roman" w:hAnsi="Times New Roman" w:eastAsia="仿宋"/>
          <w:kern w:val="0"/>
          <w:sz w:val="28"/>
          <w:szCs w:val="28"/>
        </w:rPr>
      </w:pPr>
      <w:r>
        <w:rPr>
          <w:rFonts w:hint="eastAsia" w:eastAsia="仿宋"/>
          <w:bCs/>
          <w:sz w:val="28"/>
          <w:szCs w:val="28"/>
          <w:lang w:val="en-US" w:eastAsia="zh-CN"/>
        </w:rPr>
        <w:t>上述事项</w:t>
      </w:r>
      <w:r>
        <w:rPr>
          <w:rFonts w:ascii="Times New Roman" w:hAnsi="Times New Roman" w:eastAsia="仿宋"/>
          <w:bCs/>
          <w:sz w:val="28"/>
          <w:szCs w:val="28"/>
        </w:rPr>
        <w:t>具体内容详见同日刊载于《中国证券报》《上海证券报》《证券时报》和巨潮资讯网上的《</w:t>
      </w:r>
      <w:r>
        <w:rPr>
          <w:rFonts w:hint="default" w:ascii="Times New Roman" w:hAnsi="Times New Roman" w:eastAsia="仿宋" w:cs="Times New Roman"/>
          <w:bCs/>
          <w:sz w:val="28"/>
          <w:szCs w:val="28"/>
          <w:highlight w:val="none"/>
        </w:rPr>
        <w:t>关于公司与实际控制人所属企业发生关联交易的公告</w:t>
      </w:r>
      <w:r>
        <w:rPr>
          <w:rFonts w:ascii="Times New Roman" w:hAnsi="Times New Roman" w:eastAsia="仿宋"/>
          <w:kern w:val="0"/>
          <w:sz w:val="28"/>
          <w:szCs w:val="28"/>
        </w:rPr>
        <w:t>》（</w:t>
      </w:r>
      <w:r>
        <w:rPr>
          <w:rFonts w:ascii="Times New Roman" w:hAnsi="Times New Roman" w:eastAsia="仿宋"/>
          <w:bCs/>
          <w:sz w:val="28"/>
          <w:szCs w:val="28"/>
        </w:rPr>
        <w:t>2023-0</w:t>
      </w:r>
      <w:r>
        <w:rPr>
          <w:rFonts w:hint="eastAsia" w:ascii="Times New Roman" w:hAnsi="Times New Roman" w:eastAsia="仿宋"/>
          <w:bCs/>
          <w:sz w:val="28"/>
          <w:szCs w:val="28"/>
          <w:lang w:val="en-US" w:eastAsia="zh-CN"/>
        </w:rPr>
        <w:t>81</w:t>
      </w:r>
      <w:r>
        <w:rPr>
          <w:rFonts w:ascii="Times New Roman" w:hAnsi="Times New Roman" w:eastAsia="仿宋"/>
          <w:kern w:val="0"/>
          <w:sz w:val="28"/>
          <w:szCs w:val="28"/>
        </w:rPr>
        <w:t>）。</w:t>
      </w:r>
    </w:p>
    <w:p>
      <w:pPr>
        <w:pStyle w:val="2"/>
        <w:numPr>
          <w:ilvl w:val="0"/>
          <w:numId w:val="0"/>
        </w:numPr>
        <w:spacing w:line="580" w:lineRule="exact"/>
        <w:ind w:firstLine="562" w:firstLineChars="200"/>
        <w:rPr>
          <w:rFonts w:hint="default"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w:t>
      </w:r>
      <w:r>
        <w:rPr>
          <w:rFonts w:hint="eastAsia" w:ascii="Times New Roman" w:hAnsi="Times New Roman" w:eastAsia="仿宋" w:cs="Times New Roman"/>
          <w:b/>
          <w:sz w:val="28"/>
          <w:szCs w:val="28"/>
          <w:highlight w:val="none"/>
          <w:lang w:val="en-US" w:eastAsia="zh-CN"/>
        </w:rPr>
        <w:t>二</w:t>
      </w:r>
      <w:r>
        <w:rPr>
          <w:rFonts w:hint="eastAsia" w:ascii="Times New Roman" w:hAnsi="Times New Roman" w:eastAsia="仿宋" w:cs="Times New Roman"/>
          <w:b/>
          <w:sz w:val="28"/>
          <w:szCs w:val="28"/>
          <w:highlight w:val="none"/>
          <w:lang w:eastAsia="zh-CN"/>
        </w:rPr>
        <w:t>）</w:t>
      </w:r>
      <w:r>
        <w:rPr>
          <w:rFonts w:hint="default" w:ascii="Times New Roman" w:hAnsi="Times New Roman" w:eastAsia="仿宋" w:cs="Times New Roman"/>
          <w:b/>
          <w:sz w:val="28"/>
          <w:szCs w:val="28"/>
          <w:highlight w:val="none"/>
        </w:rPr>
        <w:t>审议</w:t>
      </w:r>
      <w:r>
        <w:rPr>
          <w:rFonts w:hint="default" w:ascii="Times New Roman" w:hAnsi="Times New Roman" w:eastAsia="仿宋" w:cs="Times New Roman"/>
          <w:b/>
          <w:sz w:val="28"/>
          <w:szCs w:val="28"/>
          <w:highlight w:val="none"/>
          <w:lang w:eastAsia="zh-CN"/>
        </w:rPr>
        <w:t>《关于延长公司向特定对象发行股票股东大会决议有效期的议案</w:t>
      </w:r>
      <w:r>
        <w:rPr>
          <w:rFonts w:hint="default" w:ascii="Times New Roman" w:hAnsi="Times New Roman" w:eastAsia="仿宋" w:cs="Times New Roman"/>
          <w:b/>
          <w:sz w:val="28"/>
          <w:szCs w:val="28"/>
          <w:highlight w:val="none"/>
        </w:rPr>
        <w:t>》</w:t>
      </w:r>
    </w:p>
    <w:p>
      <w:pPr>
        <w:numPr>
          <w:ilvl w:val="0"/>
          <w:numId w:val="0"/>
        </w:numPr>
        <w:spacing w:line="580" w:lineRule="exact"/>
        <w:ind w:firstLine="560" w:firstLineChars="200"/>
        <w:rPr>
          <w:rFonts w:hint="eastAsia" w:ascii="Times New Roman" w:hAnsi="Times New Roman" w:eastAsia="仿宋" w:cs="Times New Roman"/>
          <w:sz w:val="28"/>
          <w:szCs w:val="28"/>
          <w:highlight w:val="none"/>
          <w:lang w:val="en-US" w:eastAsia="zh-CN"/>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4</w:t>
      </w:r>
      <w:r>
        <w:rPr>
          <w:rFonts w:ascii="Times New Roman" w:hAnsi="Times New Roman" w:eastAsia="仿宋"/>
          <w:sz w:val="28"/>
          <w:szCs w:val="28"/>
        </w:rPr>
        <w:t>票赞同、0票反对、0票弃权，</w:t>
      </w:r>
      <w:r>
        <w:rPr>
          <w:rFonts w:hAnsi="仿宋" w:eastAsia="仿宋"/>
          <w:sz w:val="28"/>
          <w:szCs w:val="28"/>
          <w:highlight w:val="none"/>
        </w:rPr>
        <w:t>通过了《</w:t>
      </w:r>
      <w:r>
        <w:rPr>
          <w:rFonts w:hint="eastAsia" w:hAnsi="仿宋" w:eastAsia="仿宋"/>
          <w:sz w:val="28"/>
          <w:szCs w:val="28"/>
          <w:highlight w:val="none"/>
        </w:rPr>
        <w:t>关于延长公司向特定对象发行股票股东大会决议有效期的议案</w:t>
      </w:r>
      <w:r>
        <w:rPr>
          <w:rFonts w:hAnsi="仿宋" w:eastAsia="仿宋"/>
          <w:bCs/>
          <w:color w:val="000000"/>
          <w:kern w:val="0"/>
          <w:sz w:val="28"/>
          <w:szCs w:val="28"/>
          <w:highlight w:val="none"/>
        </w:rPr>
        <w:t>》。</w:t>
      </w:r>
      <w:r>
        <w:rPr>
          <w:rFonts w:hint="eastAsia" w:hAnsi="仿宋" w:eastAsia="仿宋"/>
          <w:bCs/>
          <w:color w:val="000000"/>
          <w:kern w:val="0"/>
          <w:sz w:val="28"/>
          <w:szCs w:val="28"/>
          <w:highlight w:val="none"/>
          <w:lang w:val="en-US" w:eastAsia="zh-CN"/>
        </w:rPr>
        <w:t>同意</w:t>
      </w:r>
      <w:r>
        <w:rPr>
          <w:rFonts w:hint="eastAsia" w:ascii="Times New Roman" w:hAnsi="Times New Roman" w:eastAsia="仿宋" w:cs="Times New Roman"/>
          <w:kern w:val="0"/>
          <w:sz w:val="28"/>
          <w:szCs w:val="28"/>
          <w:lang w:val="en-US" w:eastAsia="zh-CN"/>
        </w:rPr>
        <w:t>提交</w:t>
      </w:r>
      <w:r>
        <w:rPr>
          <w:rFonts w:ascii="Times New Roman" w:hAnsi="Times New Roman" w:eastAsia="仿宋" w:cs="Times New Roman"/>
          <w:kern w:val="0"/>
          <w:sz w:val="28"/>
          <w:szCs w:val="28"/>
        </w:rPr>
        <w:t>股东大会</w:t>
      </w:r>
      <w:r>
        <w:rPr>
          <w:rFonts w:hint="eastAsia" w:ascii="Times New Roman" w:hAnsi="Times New Roman" w:eastAsia="仿宋" w:cs="Times New Roman"/>
          <w:kern w:val="0"/>
          <w:sz w:val="28"/>
          <w:szCs w:val="28"/>
          <w:lang w:val="en-US" w:eastAsia="zh-CN"/>
        </w:rPr>
        <w:t>审议</w:t>
      </w:r>
      <w:r>
        <w:rPr>
          <w:rFonts w:hint="eastAsia" w:ascii="Times New Roman" w:hAnsi="Times New Roman" w:eastAsia="仿宋" w:cs="Times New Roman"/>
          <w:kern w:val="0"/>
          <w:sz w:val="28"/>
          <w:szCs w:val="28"/>
        </w:rPr>
        <w:t>延长公司向特定对象发行股票股东大会决议有效期，延长期限为自股东大会审议通过之日</w:t>
      </w:r>
      <w:r>
        <w:rPr>
          <w:rFonts w:ascii="Times New Roman" w:hAnsi="Times New Roman" w:eastAsia="仿宋" w:cs="Times New Roman"/>
          <w:color w:val="000000"/>
          <w:kern w:val="0"/>
          <w:sz w:val="28"/>
          <w:szCs w:val="28"/>
        </w:rPr>
        <w:t>起12个月</w:t>
      </w:r>
      <w:r>
        <w:rPr>
          <w:rFonts w:hint="eastAsia" w:ascii="Times New Roman" w:hAnsi="Times New Roman" w:eastAsia="仿宋" w:cs="Times New Roman"/>
          <w:kern w:val="0"/>
          <w:sz w:val="28"/>
          <w:szCs w:val="28"/>
        </w:rPr>
        <w:t>。</w:t>
      </w:r>
      <w:r>
        <w:rPr>
          <w:rFonts w:hint="eastAsia" w:ascii="Times New Roman" w:hAnsi="Times New Roman" w:eastAsia="仿宋" w:cs="Times New Roman"/>
          <w:sz w:val="28"/>
          <w:szCs w:val="28"/>
          <w:highlight w:val="none"/>
          <w:lang w:val="en-US" w:eastAsia="zh-CN"/>
        </w:rPr>
        <w:t>本议案需提交股东大会审议。</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具体内容详见同日刊载于《中国证券报》《上海证券报》《证券时报》和巨潮资讯网上的《关于</w:t>
      </w:r>
      <w:r>
        <w:rPr>
          <w:rFonts w:hint="default" w:ascii="Times New Roman" w:hAnsi="Times New Roman" w:eastAsia="仿宋" w:cs="Times New Roman"/>
          <w:b w:val="0"/>
          <w:bCs/>
          <w:sz w:val="28"/>
          <w:szCs w:val="28"/>
          <w:highlight w:val="none"/>
          <w:lang w:eastAsia="zh-CN"/>
        </w:rPr>
        <w:t>延长</w:t>
      </w:r>
      <w:r>
        <w:rPr>
          <w:rFonts w:hint="default" w:ascii="Times New Roman" w:hAnsi="Times New Roman" w:eastAsia="仿宋" w:cs="Times New Roman"/>
          <w:bCs/>
          <w:sz w:val="28"/>
          <w:szCs w:val="28"/>
          <w:highlight w:val="none"/>
        </w:rPr>
        <w:t>公司向特定对象发行股票股东大会决议有效期延期的公告》（202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82</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三、备查文件</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经与会监事签字并加盖监事会印章的监事会决议。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特此公告。</w:t>
      </w:r>
    </w:p>
    <w:p>
      <w:pPr>
        <w:keepNext w:val="0"/>
        <w:keepLines w:val="0"/>
        <w:pageBreakBefore w:val="0"/>
        <w:kinsoku/>
        <w:wordWrap/>
        <w:overflowPunct/>
        <w:topLinePunct w:val="0"/>
        <w:bidi w:val="0"/>
        <w:spacing w:line="580" w:lineRule="exact"/>
        <w:ind w:firstLine="4620" w:firstLineChars="165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4620" w:firstLineChars="165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4620" w:firstLineChars="1650"/>
        <w:textAlignment w:val="auto"/>
        <w:rPr>
          <w:rFonts w:ascii="Times New Roman" w:hAnsi="Times New Roman" w:eastAsia="仿宋"/>
          <w:sz w:val="28"/>
          <w:szCs w:val="28"/>
        </w:rPr>
      </w:pPr>
      <w:r>
        <w:rPr>
          <w:rFonts w:hint="eastAsia" w:ascii="Times New Roman" w:hAnsi="Times New Roman" w:eastAsia="仿宋"/>
          <w:sz w:val="28"/>
          <w:szCs w:val="28"/>
        </w:rPr>
        <w:t>吉</w:t>
      </w:r>
      <w:r>
        <w:rPr>
          <w:rFonts w:ascii="Times New Roman" w:hAnsi="Times New Roman" w:eastAsia="仿宋"/>
          <w:sz w:val="28"/>
          <w:szCs w:val="28"/>
        </w:rPr>
        <w:t>林电力股份有限公司监事会</w:t>
      </w:r>
    </w:p>
    <w:p>
      <w:pPr>
        <w:keepNext w:val="0"/>
        <w:keepLines w:val="0"/>
        <w:pageBreakBefore w:val="0"/>
        <w:tabs>
          <w:tab w:val="left" w:pos="2805"/>
          <w:tab w:val="right" w:pos="8026"/>
        </w:tabs>
        <w:kinsoku/>
        <w:wordWrap/>
        <w:overflowPunct/>
        <w:topLinePunct w:val="0"/>
        <w:bidi w:val="0"/>
        <w:spacing w:line="580" w:lineRule="exact"/>
        <w:jc w:val="left"/>
        <w:textAlignment w:val="auto"/>
        <w:rPr>
          <w:rFonts w:ascii="Times New Roman" w:hAnsi="Times New Roman"/>
        </w:rPr>
      </w:pPr>
      <w:r>
        <w:rPr>
          <w:rFonts w:ascii="Times New Roman" w:hAnsi="Times New Roman" w:eastAsia="仿宋"/>
          <w:sz w:val="28"/>
          <w:szCs w:val="28"/>
        </w:rPr>
        <w:tab/>
      </w:r>
      <w:r>
        <w:rPr>
          <w:rFonts w:ascii="Times New Roman" w:hAnsi="Times New Roman" w:eastAsia="仿宋"/>
          <w:sz w:val="28"/>
          <w:szCs w:val="28"/>
        </w:rPr>
        <w:tab/>
      </w:r>
      <w:r>
        <w:rPr>
          <w:rFonts w:ascii="仿宋" w:hAnsi="仿宋" w:eastAsia="仿宋"/>
          <w:sz w:val="28"/>
          <w:szCs w:val="28"/>
        </w:rPr>
        <w:t>二○二</w:t>
      </w:r>
      <w:r>
        <w:rPr>
          <w:rFonts w:hint="eastAsia" w:ascii="仿宋" w:hAnsi="仿宋" w:eastAsia="仿宋"/>
          <w:sz w:val="28"/>
          <w:szCs w:val="28"/>
        </w:rPr>
        <w:t>三</w:t>
      </w:r>
      <w:r>
        <w:rPr>
          <w:rFonts w:ascii="仿宋" w:hAnsi="仿宋" w:eastAsia="仿宋"/>
          <w:sz w:val="28"/>
          <w:szCs w:val="28"/>
        </w:rPr>
        <w:t>年</w:t>
      </w:r>
      <w:r>
        <w:rPr>
          <w:rFonts w:hint="eastAsia" w:ascii="仿宋" w:hAnsi="仿宋" w:eastAsia="仿宋"/>
          <w:sz w:val="28"/>
          <w:szCs w:val="28"/>
          <w:lang w:val="en-US" w:eastAsia="zh-CN"/>
        </w:rPr>
        <w:t>十二</w:t>
      </w:r>
      <w:r>
        <w:rPr>
          <w:rFonts w:ascii="仿宋" w:hAnsi="仿宋" w:eastAsia="仿宋"/>
          <w:sz w:val="28"/>
          <w:szCs w:val="28"/>
        </w:rPr>
        <w:t>月</w:t>
      </w:r>
      <w:r>
        <w:rPr>
          <w:rFonts w:hint="eastAsia" w:ascii="仿宋" w:hAnsi="仿宋" w:eastAsia="仿宋"/>
          <w:sz w:val="28"/>
          <w:szCs w:val="28"/>
        </w:rPr>
        <w:t>十</w:t>
      </w:r>
      <w:r>
        <w:rPr>
          <w:rFonts w:hint="eastAsia" w:ascii="仿宋" w:hAnsi="仿宋" w:eastAsia="仿宋"/>
          <w:sz w:val="28"/>
          <w:szCs w:val="28"/>
          <w:lang w:val="en-US" w:eastAsia="zh-CN"/>
        </w:rPr>
        <w:t>一</w:t>
      </w:r>
      <w:r>
        <w:rPr>
          <w:rFonts w:ascii="仿宋" w:hAnsi="仿宋"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48318"/>
    <w:multiLevelType w:val="singleLevel"/>
    <w:tmpl w:val="81D4831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0CDB"/>
    <w:rsid w:val="00035452"/>
    <w:rsid w:val="00035F6F"/>
    <w:rsid w:val="00063A8D"/>
    <w:rsid w:val="000A3C4A"/>
    <w:rsid w:val="000B5D56"/>
    <w:rsid w:val="000C5011"/>
    <w:rsid w:val="000E6514"/>
    <w:rsid w:val="000F734A"/>
    <w:rsid w:val="00134B4B"/>
    <w:rsid w:val="00157C41"/>
    <w:rsid w:val="001A7862"/>
    <w:rsid w:val="0020467F"/>
    <w:rsid w:val="00223111"/>
    <w:rsid w:val="00254885"/>
    <w:rsid w:val="0027644C"/>
    <w:rsid w:val="00294C77"/>
    <w:rsid w:val="002959AD"/>
    <w:rsid w:val="00296099"/>
    <w:rsid w:val="002E0B33"/>
    <w:rsid w:val="003272C8"/>
    <w:rsid w:val="0037231A"/>
    <w:rsid w:val="00417154"/>
    <w:rsid w:val="00435FF7"/>
    <w:rsid w:val="00442FF0"/>
    <w:rsid w:val="004474AC"/>
    <w:rsid w:val="00482ACC"/>
    <w:rsid w:val="004A1979"/>
    <w:rsid w:val="004C0534"/>
    <w:rsid w:val="004E2C25"/>
    <w:rsid w:val="005522CD"/>
    <w:rsid w:val="005B5D55"/>
    <w:rsid w:val="005D77D5"/>
    <w:rsid w:val="005D7A2B"/>
    <w:rsid w:val="005E058B"/>
    <w:rsid w:val="005E6B27"/>
    <w:rsid w:val="005F2F6B"/>
    <w:rsid w:val="00600112"/>
    <w:rsid w:val="0061266F"/>
    <w:rsid w:val="00630AA6"/>
    <w:rsid w:val="006975D6"/>
    <w:rsid w:val="006E047C"/>
    <w:rsid w:val="00773A4B"/>
    <w:rsid w:val="0078109F"/>
    <w:rsid w:val="00782370"/>
    <w:rsid w:val="00786090"/>
    <w:rsid w:val="007A45D4"/>
    <w:rsid w:val="007D1C7B"/>
    <w:rsid w:val="007F501E"/>
    <w:rsid w:val="00806C3C"/>
    <w:rsid w:val="00806E60"/>
    <w:rsid w:val="00821C03"/>
    <w:rsid w:val="00850FCA"/>
    <w:rsid w:val="008B4D38"/>
    <w:rsid w:val="008C7CDA"/>
    <w:rsid w:val="00927840"/>
    <w:rsid w:val="00961D15"/>
    <w:rsid w:val="00965EFA"/>
    <w:rsid w:val="0097169A"/>
    <w:rsid w:val="009902D5"/>
    <w:rsid w:val="00991474"/>
    <w:rsid w:val="009B2060"/>
    <w:rsid w:val="00A16278"/>
    <w:rsid w:val="00A32597"/>
    <w:rsid w:val="00A41462"/>
    <w:rsid w:val="00AA3F7F"/>
    <w:rsid w:val="00AB1C6E"/>
    <w:rsid w:val="00AB699D"/>
    <w:rsid w:val="00AE69E0"/>
    <w:rsid w:val="00AF351C"/>
    <w:rsid w:val="00B128BC"/>
    <w:rsid w:val="00B336D5"/>
    <w:rsid w:val="00BE5F88"/>
    <w:rsid w:val="00BF1DFD"/>
    <w:rsid w:val="00BF4EDD"/>
    <w:rsid w:val="00C029BA"/>
    <w:rsid w:val="00C4476B"/>
    <w:rsid w:val="00C61CAA"/>
    <w:rsid w:val="00CA2548"/>
    <w:rsid w:val="00CF57DB"/>
    <w:rsid w:val="00D00DAA"/>
    <w:rsid w:val="00D07125"/>
    <w:rsid w:val="00D259B3"/>
    <w:rsid w:val="00D61B0A"/>
    <w:rsid w:val="00D8439F"/>
    <w:rsid w:val="00D87228"/>
    <w:rsid w:val="00DE7FE5"/>
    <w:rsid w:val="00DF2967"/>
    <w:rsid w:val="00E06F72"/>
    <w:rsid w:val="00E322E8"/>
    <w:rsid w:val="00E434F4"/>
    <w:rsid w:val="00E867D9"/>
    <w:rsid w:val="00E87057"/>
    <w:rsid w:val="00E968B0"/>
    <w:rsid w:val="00EC38C2"/>
    <w:rsid w:val="00F04D26"/>
    <w:rsid w:val="00F210DE"/>
    <w:rsid w:val="00F34F1E"/>
    <w:rsid w:val="00F41469"/>
    <w:rsid w:val="00F83A50"/>
    <w:rsid w:val="00FA6957"/>
    <w:rsid w:val="00FC7CDD"/>
    <w:rsid w:val="00FD4924"/>
    <w:rsid w:val="01411C55"/>
    <w:rsid w:val="01641BAD"/>
    <w:rsid w:val="01FA3894"/>
    <w:rsid w:val="046A4330"/>
    <w:rsid w:val="05211E97"/>
    <w:rsid w:val="06CE0E6C"/>
    <w:rsid w:val="06E41591"/>
    <w:rsid w:val="08555D85"/>
    <w:rsid w:val="08870C19"/>
    <w:rsid w:val="099B5FE8"/>
    <w:rsid w:val="0A7720BF"/>
    <w:rsid w:val="0AA552A8"/>
    <w:rsid w:val="0B2B47BA"/>
    <w:rsid w:val="0C3D3ECB"/>
    <w:rsid w:val="0E74495A"/>
    <w:rsid w:val="0ED41C1F"/>
    <w:rsid w:val="0F2E4A1B"/>
    <w:rsid w:val="102E0EE3"/>
    <w:rsid w:val="10506974"/>
    <w:rsid w:val="11374CBB"/>
    <w:rsid w:val="118442A0"/>
    <w:rsid w:val="11B42A29"/>
    <w:rsid w:val="12144569"/>
    <w:rsid w:val="12216C8B"/>
    <w:rsid w:val="134157C5"/>
    <w:rsid w:val="1382001C"/>
    <w:rsid w:val="1459096F"/>
    <w:rsid w:val="14B36996"/>
    <w:rsid w:val="14EF0946"/>
    <w:rsid w:val="16AC5819"/>
    <w:rsid w:val="177210F4"/>
    <w:rsid w:val="18B7393A"/>
    <w:rsid w:val="19BE287C"/>
    <w:rsid w:val="1A455668"/>
    <w:rsid w:val="1AC739FE"/>
    <w:rsid w:val="1B667887"/>
    <w:rsid w:val="1BF04D1A"/>
    <w:rsid w:val="1C252EBD"/>
    <w:rsid w:val="1E452750"/>
    <w:rsid w:val="1EE61282"/>
    <w:rsid w:val="202538B8"/>
    <w:rsid w:val="203715BC"/>
    <w:rsid w:val="204732C0"/>
    <w:rsid w:val="204F7A20"/>
    <w:rsid w:val="212A32FB"/>
    <w:rsid w:val="214E2A87"/>
    <w:rsid w:val="2237084A"/>
    <w:rsid w:val="224D4BEA"/>
    <w:rsid w:val="237C6B75"/>
    <w:rsid w:val="238B4FEE"/>
    <w:rsid w:val="242A142B"/>
    <w:rsid w:val="251505A8"/>
    <w:rsid w:val="25354C69"/>
    <w:rsid w:val="297D4844"/>
    <w:rsid w:val="2AA50633"/>
    <w:rsid w:val="2BD77A9C"/>
    <w:rsid w:val="2BDC46D9"/>
    <w:rsid w:val="2C782F45"/>
    <w:rsid w:val="2CCA74BB"/>
    <w:rsid w:val="2CF22EAC"/>
    <w:rsid w:val="2D0A4A3C"/>
    <w:rsid w:val="2E524629"/>
    <w:rsid w:val="30141A6E"/>
    <w:rsid w:val="30C71216"/>
    <w:rsid w:val="31F07F7E"/>
    <w:rsid w:val="321A50E9"/>
    <w:rsid w:val="32E35645"/>
    <w:rsid w:val="32E6467A"/>
    <w:rsid w:val="33AF3B80"/>
    <w:rsid w:val="36051918"/>
    <w:rsid w:val="367029AB"/>
    <w:rsid w:val="374D117B"/>
    <w:rsid w:val="3819561D"/>
    <w:rsid w:val="392D28C0"/>
    <w:rsid w:val="393F36E0"/>
    <w:rsid w:val="3C5477BA"/>
    <w:rsid w:val="3CA345A8"/>
    <w:rsid w:val="3CCC7276"/>
    <w:rsid w:val="3D062DA2"/>
    <w:rsid w:val="3EE96044"/>
    <w:rsid w:val="40643C9B"/>
    <w:rsid w:val="40894472"/>
    <w:rsid w:val="410E5E66"/>
    <w:rsid w:val="41106103"/>
    <w:rsid w:val="41CC7876"/>
    <w:rsid w:val="433A2396"/>
    <w:rsid w:val="43775F23"/>
    <w:rsid w:val="44A71F58"/>
    <w:rsid w:val="44BA1716"/>
    <w:rsid w:val="44F72DC6"/>
    <w:rsid w:val="45230373"/>
    <w:rsid w:val="45C86AD0"/>
    <w:rsid w:val="46055158"/>
    <w:rsid w:val="4664520C"/>
    <w:rsid w:val="470B543D"/>
    <w:rsid w:val="48E65FE3"/>
    <w:rsid w:val="49713CD0"/>
    <w:rsid w:val="4A2A6880"/>
    <w:rsid w:val="4B732DBE"/>
    <w:rsid w:val="4B8975BB"/>
    <w:rsid w:val="4BEB7797"/>
    <w:rsid w:val="4C0F742A"/>
    <w:rsid w:val="4C3C5E71"/>
    <w:rsid w:val="4D827663"/>
    <w:rsid w:val="4E000611"/>
    <w:rsid w:val="4EF96157"/>
    <w:rsid w:val="4F59499F"/>
    <w:rsid w:val="4F9206E2"/>
    <w:rsid w:val="50E84C2F"/>
    <w:rsid w:val="51344372"/>
    <w:rsid w:val="526818ED"/>
    <w:rsid w:val="531C4FC6"/>
    <w:rsid w:val="54361EF4"/>
    <w:rsid w:val="54B24362"/>
    <w:rsid w:val="54EB0334"/>
    <w:rsid w:val="56A143BE"/>
    <w:rsid w:val="56E25ADD"/>
    <w:rsid w:val="56EA27CC"/>
    <w:rsid w:val="56F53F18"/>
    <w:rsid w:val="574654A4"/>
    <w:rsid w:val="575C141E"/>
    <w:rsid w:val="57981DA5"/>
    <w:rsid w:val="57E312B1"/>
    <w:rsid w:val="58F728F9"/>
    <w:rsid w:val="595D4310"/>
    <w:rsid w:val="599D56DD"/>
    <w:rsid w:val="5A667B77"/>
    <w:rsid w:val="5B304657"/>
    <w:rsid w:val="5B7360CD"/>
    <w:rsid w:val="5B9F4593"/>
    <w:rsid w:val="5BCE4964"/>
    <w:rsid w:val="5D573A29"/>
    <w:rsid w:val="5EE254AC"/>
    <w:rsid w:val="5F1C2907"/>
    <w:rsid w:val="60551C0A"/>
    <w:rsid w:val="609858DB"/>
    <w:rsid w:val="610E7C49"/>
    <w:rsid w:val="6170257C"/>
    <w:rsid w:val="61ED03A7"/>
    <w:rsid w:val="61F54646"/>
    <w:rsid w:val="628400E5"/>
    <w:rsid w:val="64566206"/>
    <w:rsid w:val="64B3073A"/>
    <w:rsid w:val="65C57704"/>
    <w:rsid w:val="675225E6"/>
    <w:rsid w:val="67C970B8"/>
    <w:rsid w:val="698C7DE8"/>
    <w:rsid w:val="6A6B4FBD"/>
    <w:rsid w:val="6CE13DC4"/>
    <w:rsid w:val="6DEA0030"/>
    <w:rsid w:val="6FBC418C"/>
    <w:rsid w:val="70221B36"/>
    <w:rsid w:val="703B260F"/>
    <w:rsid w:val="727E688C"/>
    <w:rsid w:val="73DF75FB"/>
    <w:rsid w:val="762F7ACA"/>
    <w:rsid w:val="7794227D"/>
    <w:rsid w:val="77E777A4"/>
    <w:rsid w:val="78582600"/>
    <w:rsid w:val="7A0C0D93"/>
    <w:rsid w:val="7A93429D"/>
    <w:rsid w:val="7ACA6A42"/>
    <w:rsid w:val="7B472CC2"/>
    <w:rsid w:val="7CEE3D71"/>
    <w:rsid w:val="7D4B16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link w:val="14"/>
    <w:semiHidden/>
    <w:uiPriority w:val="0"/>
    <w:rPr>
      <w:rFonts w:ascii="Tahoma" w:hAnsi="Tahoma" w:eastAsia="Times New Roman"/>
      <w:kern w:val="0"/>
      <w:sz w:val="24"/>
      <w:szCs w:val="20"/>
    </w:rPr>
  </w:style>
  <w:style w:type="table" w:default="1" w:styleId="1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semiHidden/>
    <w:uiPriority w:val="0"/>
    <w:pPr>
      <w:jc w:val="left"/>
    </w:pPr>
  </w:style>
  <w:style w:type="paragraph" w:styleId="4">
    <w:name w:val="Body Text Indent"/>
    <w:basedOn w:val="1"/>
    <w:next w:val="1"/>
    <w:uiPriority w:val="0"/>
    <w:pPr>
      <w:spacing w:after="120" w:afterLines="0" w:afterAutospacing="0"/>
      <w:ind w:left="420" w:leftChars="200"/>
    </w:pPr>
  </w:style>
  <w:style w:type="paragraph" w:styleId="5">
    <w:name w:val="Date"/>
    <w:basedOn w:val="1"/>
    <w:next w:val="1"/>
    <w:uiPriority w:val="0"/>
    <w:pPr>
      <w:ind w:left="100" w:leftChars="2500"/>
    </w:pPr>
  </w:style>
  <w:style w:type="paragraph" w:styleId="6">
    <w:name w:val="Body Text Indent 2"/>
    <w:basedOn w:val="1"/>
    <w:qFormat/>
    <w:uiPriority w:val="0"/>
    <w:pPr>
      <w:spacing w:after="120" w:line="480" w:lineRule="auto"/>
      <w:ind w:left="420" w:leftChars="200"/>
    </w:pPr>
    <w:rPr>
      <w:szCs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4"/>
    <w:uiPriority w:val="0"/>
    <w:pPr>
      <w:ind w:firstLine="420" w:firstLineChars="200"/>
    </w:pPr>
    <w:rPr>
      <w:rFonts w:ascii="Times New Roman" w:hAnsi="Times New Roman"/>
    </w:rPr>
  </w:style>
  <w:style w:type="paragraph" w:customStyle="1" w:styleId="14">
    <w:name w:val="_Style 9"/>
    <w:basedOn w:val="1"/>
    <w:link w:val="13"/>
    <w:qFormat/>
    <w:uiPriority w:val="0"/>
    <w:rPr>
      <w:rFonts w:ascii="Tahoma" w:hAnsi="Tahoma" w:eastAsia="Times New Roman"/>
      <w:kern w:val="0"/>
      <w:sz w:val="24"/>
      <w:szCs w:val="20"/>
    </w:rPr>
  </w:style>
  <w:style w:type="character" w:styleId="15">
    <w:name w:val="Strong"/>
    <w:qFormat/>
    <w:uiPriority w:val="99"/>
    <w:rPr>
      <w:rFonts w:cs="Times New Roman"/>
      <w:b/>
      <w:bCs/>
    </w:rPr>
  </w:style>
  <w:style w:type="character" w:styleId="16">
    <w:name w:val="page number"/>
    <w:uiPriority w:val="0"/>
  </w:style>
  <w:style w:type="character" w:customStyle="1" w:styleId="17">
    <w:name w:val="da1"/>
    <w:uiPriority w:val="0"/>
    <w:rPr>
      <w:rFonts w:hint="default" w:ascii="_x000B__x000C_" w:hAnsi="_x000B__x000C_"/>
      <w:color w:val="000000"/>
      <w:spacing w:val="360"/>
      <w:sz w:val="21"/>
      <w:szCs w:val="21"/>
      <w:u w:val="none"/>
    </w:rPr>
  </w:style>
  <w:style w:type="character" w:customStyle="1" w:styleId="18">
    <w:name w:val="UserStyle_1"/>
    <w:qFormat/>
    <w:uiPriority w:val="0"/>
    <w:rPr>
      <w:rFonts w:hint="default" w:ascii="Calibri" w:hAnsi="Calibri" w:cs="Calibri"/>
    </w:rPr>
  </w:style>
  <w:style w:type="paragraph" w:customStyle="1" w:styleId="1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20">
    <w:name w:val="Char Char Char Char"/>
    <w:basedOn w:val="1"/>
    <w:uiPriority w:val="0"/>
    <w:rPr>
      <w:szCs w:val="21"/>
    </w:rPr>
  </w:style>
  <w:style w:type="paragraph" w:customStyle="1" w:styleId="2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customStyle="1" w:styleId="22">
    <w:name w:val=" Char Char"/>
    <w:basedOn w:val="1"/>
    <w:uiPriority w:val="0"/>
    <w:pPr>
      <w:pageBreakBefore/>
      <w:tabs>
        <w:tab w:val="left" w:pos="432"/>
      </w:tabs>
      <w:ind w:left="432" w:hanging="432"/>
    </w:pPr>
    <w:rPr>
      <w:rFonts w:ascii="Tahoma" w:hAnsi="Tahoma"/>
      <w:sz w:val="24"/>
      <w:szCs w:val="20"/>
    </w:rPr>
  </w:style>
  <w:style w:type="paragraph" w:customStyle="1" w:styleId="23">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Char Char3"/>
    <w:basedOn w:val="1"/>
    <w:uiPriority w:val="0"/>
  </w:style>
  <w:style w:type="paragraph" w:customStyle="1" w:styleId="25">
    <w:name w:val="_Style 3"/>
    <w:basedOn w:val="1"/>
    <w:uiPriority w:val="0"/>
    <w:pPr>
      <w:pageBreakBefore/>
      <w:tabs>
        <w:tab w:val="left" w:pos="432"/>
      </w:tabs>
      <w:ind w:left="432" w:hanging="432"/>
    </w:pPr>
    <w:rPr>
      <w:rFonts w:ascii="Tahoma" w:hAnsi="Tahoma"/>
      <w:sz w:val="24"/>
      <w:szCs w:val="20"/>
    </w:rPr>
  </w:style>
  <w:style w:type="paragraph" w:customStyle="1" w:styleId="26">
    <w:name w:val="_Style 25"/>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4627</Words>
  <Characters>5064</Characters>
  <Lines>36</Lines>
  <Paragraphs>10</Paragraphs>
  <TotalTime>1</TotalTime>
  <ScaleCrop>false</ScaleCrop>
  <LinksUpToDate>false</LinksUpToDate>
  <CharactersWithSpaces>5097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2009-03-27T09:12:00Z</cp:lastPrinted>
  <dcterms:modified xsi:type="dcterms:W3CDTF">2023-12-11T03:26:23Z</dcterms:modified>
  <dc:title>证券代码：000875            证券简称：吉电股份              公告编号：2014-062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BECCC69968EA4DF5A78D92550B08C0FC_13</vt:lpwstr>
  </property>
</Properties>
</file>