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u w:val="single"/>
          <w:lang w:val="en-US" w:eastAsia="zh-CN"/>
        </w:rPr>
      </w:pPr>
      <w:r>
        <w:rPr>
          <w:rFonts w:hint="default" w:ascii="Times New Roman" w:hAnsi="Times New Roman" w:cs="Times New Roman"/>
        </w:rPr>
        <w:t>证券代码：000875            证券简称：吉电股份              公告编号：202</w:t>
      </w:r>
      <w:r>
        <w:rPr>
          <w:rFonts w:hint="eastAsia" w:ascii="Times New Roman" w:hAnsi="Times New Roman" w:cs="Times New Roman"/>
          <w:lang w:val="en-US" w:eastAsia="zh-CN"/>
        </w:rPr>
        <w:t>3</w:t>
      </w:r>
      <w:r>
        <w:rPr>
          <w:rFonts w:hint="default" w:ascii="Times New Roman" w:hAnsi="Times New Roman" w:cs="Times New Roman"/>
        </w:rPr>
        <w:t>-0</w:t>
      </w:r>
      <w:r>
        <w:rPr>
          <w:rFonts w:hint="eastAsia" w:ascii="Times New Roman" w:hAnsi="Times New Roman" w:cs="Times New Roman"/>
          <w:lang w:val="en-US" w:eastAsia="zh-CN"/>
        </w:rPr>
        <w:t>59</w:t>
      </w:r>
    </w:p>
    <w:p>
      <w:pPr>
        <w:jc w:val="center"/>
        <w:rPr>
          <w:rFonts w:hint="eastAsia" w:ascii="宋体" w:hAnsi="宋体" w:eastAsia="宋体" w:cs="宋体"/>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c3t5dQAAAAHAQAADwAAAAAAAAABACAAAAAiAAAAZHJzL2Rv&#10;d25yZXYueG1sUEsBAhQAFAAAAAgAh07iQI8xtmcFAgAA+QMAAA4AAAAAAAAAAQAgAAAAIwEAAGRy&#10;cy9lMm9Eb2MueG1sUEsFBgAAAAAGAAYAWQEAAJoFAAAAAA==&#10;">
                <v:fill on="f" focussize="0,0"/>
                <v:stroke weight="4.5pt" color="#FF6600" linestyle="thinThick" joinstyle="round"/>
                <v:imagedata o:title=""/>
                <o:lock v:ext="edit" aspectratio="f"/>
              </v:line>
            </w:pict>
          </mc:Fallback>
        </mc:AlternateContent>
      </w:r>
    </w:p>
    <w:p>
      <w:pPr>
        <w:jc w:val="center"/>
        <w:rPr>
          <w:rFonts w:hint="eastAsia" w:ascii="Times New Roman" w:hAnsi="Times New Roman" w:cs="Times New Roman"/>
          <w:b/>
          <w:sz w:val="44"/>
          <w:szCs w:val="44"/>
        </w:rPr>
      </w:pPr>
      <w:r>
        <w:rPr>
          <w:rFonts w:hint="eastAsia" w:ascii="Times New Roman" w:hAnsi="Times New Roman" w:cs="Times New Roman"/>
          <w:b/>
          <w:sz w:val="44"/>
          <w:szCs w:val="44"/>
        </w:rPr>
        <w:t>吉林电力股份有限公司</w:t>
      </w:r>
    </w:p>
    <w:p>
      <w:pPr>
        <w:jc w:val="center"/>
        <w:rPr>
          <w:rFonts w:hint="eastAsia" w:ascii="Times New Roman" w:hAnsi="Times New Roman" w:cs="Times New Roman"/>
          <w:b/>
          <w:sz w:val="44"/>
          <w:szCs w:val="44"/>
        </w:rPr>
      </w:pPr>
      <w:r>
        <w:rPr>
          <w:rFonts w:hint="eastAsia" w:ascii="Times New Roman" w:hAnsi="Times New Roman" w:cs="Times New Roman"/>
          <w:b/>
          <w:sz w:val="44"/>
          <w:szCs w:val="44"/>
        </w:rPr>
        <w:t>关于会计政策变更的公告</w:t>
      </w:r>
    </w:p>
    <w:p>
      <w:pPr>
        <w:ind w:firstLine="562" w:firstLineChars="200"/>
        <w:rPr>
          <w:rFonts w:hint="default" w:ascii="Times New Roman" w:hAnsi="Times New Roman" w:eastAsia="仿宋" w:cs="Times New Roman"/>
          <w:b/>
          <w:sz w:val="28"/>
          <w:szCs w:val="28"/>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宋体"/>
          <w:sz w:val="32"/>
          <w:szCs w:val="24"/>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一、本次会计政策变更概述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（一）会计政策变更原因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2022年11月30日，财政部下发了关于印发《企业会计准则解释第16号》的通知（财会〔2022〕31号），规定“关于单项交易产生的资产和负债相关的递延所得税不适用初始确认豁免的会计处理”的内容自2023年1月1日起施行；规定“关于发行方分类为权益工具的金融工具相关股利的所得税影响的会计处理”及“关于企业将以现金结算的股份支付修改为以权益结算的股份支付的会计处理”等内容，自公布之日起执行。</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（二）变更前公司所采用的会计政策</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本次会计政策变更前，公司执行的是财政部发布的《企业会计准则 ——基本准则》和各项具体会计准则、企业会计准则应用指南、企业会计准则解释以及其他相关规定。</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（三）变更后公司所采用的会计政策</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公司将执行《企业会计准则解释第16号》关于单项交易产生的资产和负债相关的递延所得税不适用初始确认豁免的规定，对于不是企业合并、交易发生时既不影响会计利润也不影响应纳税所得额（或可抵扣亏损）、且初始确认的资产和负债导致产生等额应纳税暂时性差异和可抵扣暂时性差异的单项交易（包括承租人在租赁期开始日初始确认租赁负债并计入使用</w:t>
      </w:r>
      <w:bookmarkStart w:id="0" w:name="_GoBack"/>
      <w:bookmarkEnd w:id="0"/>
      <w:r>
        <w:rPr>
          <w:rFonts w:hint="eastAsia" w:ascii="仿宋" w:hAnsi="仿宋" w:eastAsia="仿宋" w:cs="仿宋"/>
          <w:color w:val="000000"/>
          <w:kern w:val="0"/>
          <w:sz w:val="28"/>
          <w:szCs w:val="28"/>
          <w:lang w:val="en-US" w:eastAsia="zh-CN" w:bidi="ar"/>
        </w:rPr>
        <w:t>权资产的租赁交易，以及因固定资产等存在弃置义务而确认预计负债并计入相关资产成本的交易等，以下简称适用本解释的单项交易），不适用《企业会计准则第 18 号——所得税》第十一条（二）、第十三条关于豁免初始确认递延所得税负债和递延所得税资产的规定。企业对该交易因资产和负债的初始确认所产生的应纳税暂时性差异和可抵扣暂时性差异，应当根据《企业会计准则第 18 号——所得税》等有关规定，在交易发生时分别确认相应的递延所得税负债和递延所得税资产。</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2．公司将执行《企业会计准则解释第16号》关于发行方分类为权益工具的金融工具相关股利的所得税影响的会计处理。</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3．公司将执行《企业会计准则解释第16号》关于企业将以现金结算的股份支付修改为以权益结算的股份支付的会计处理。</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（四）变更日期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公司根据《企业会计准则解释第16号》规定，关于单项交易产生的资产和负债相关的递延所得税不适用初始确认豁免规定自 2023年1月1日起执行，关于发行方分类为权益工具的金融工具相关股利的所得税影响的会计处理自2022年11月30日起执行，关于企业将以现金结算的股份支付修改为以权益结算的股份支付的会计处理自2022年11月30日起执行。</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二、本次会计政策变更对公司的影响</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执行《企业会计准则解释第16号》关于发行方分类为权益工具的金融工具相关股利的所得税影响的会计处理和关于企业将以现金结算的股份支付修改为以权益结算的股份支付的会计处理，不会对公司财务报表产生重大影响。</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执行《企业会计准则解释第16号》关于单项交易产生的资产和负债相关的递延所得税不适用初始确认豁免的规定，对于在首次施行本解释的财务报表列报最早期间的期初至本解释施行日之间发生的单项交易产生的资产和负债相关的递延所得税，应当按照《企业会计准则解释第16号》的规定进行追溯调整。追溯调整对公司2022年度及2021年度财务报表主要项目影响金额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24"/>
          <w:lang w:val="en-US" w:eastAsia="zh-CN"/>
        </w:rPr>
      </w:pPr>
      <w:r>
        <w:rPr>
          <w:rFonts w:hint="eastAsia" w:ascii="Times New Roman" w:hAnsi="Times New Roman" w:eastAsia="仿宋_GB2312" w:cs="宋体"/>
          <w:sz w:val="32"/>
          <w:szCs w:val="24"/>
          <w:lang w:val="en-US" w:eastAsia="zh-CN"/>
        </w:rPr>
        <w:t xml:space="preserve">                                     </w:t>
      </w:r>
      <w:r>
        <w:rPr>
          <w:rFonts w:hint="eastAsia" w:ascii="仿宋" w:hAnsi="仿宋" w:eastAsia="仿宋" w:cs="仿宋"/>
          <w:sz w:val="32"/>
          <w:szCs w:val="24"/>
          <w:lang w:val="en-US" w:eastAsia="zh-CN"/>
        </w:rPr>
        <w:t xml:space="preserve"> </w:t>
      </w:r>
      <w:r>
        <w:rPr>
          <w:rFonts w:hint="eastAsia" w:ascii="仿宋" w:hAnsi="仿宋" w:eastAsia="仿宋" w:cs="仿宋"/>
          <w:sz w:val="24"/>
          <w:szCs w:val="24"/>
          <w:lang w:val="en-US" w:eastAsia="zh-CN"/>
        </w:rPr>
        <w:t>金额单位：万元</w:t>
      </w:r>
    </w:p>
    <w:tbl>
      <w:tblPr>
        <w:tblStyle w:val="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2531"/>
        <w:gridCol w:w="2233"/>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227"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报表项目</w:t>
            </w:r>
          </w:p>
        </w:tc>
        <w:tc>
          <w:tcPr>
            <w:tcW w:w="2531"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会计政策变更调整前2022年12月31日/2022年度</w:t>
            </w:r>
          </w:p>
        </w:tc>
        <w:tc>
          <w:tcPr>
            <w:tcW w:w="2233"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会计政策变更调整后2023年1月1日/2022年度</w:t>
            </w:r>
          </w:p>
        </w:tc>
        <w:tc>
          <w:tcPr>
            <w:tcW w:w="1596" w:type="dxa"/>
            <w:vAlign w:val="center"/>
          </w:tcPr>
          <w:p>
            <w:pPr>
              <w:keepNext w:val="0"/>
              <w:keepLines w:val="0"/>
              <w:widowControl/>
              <w:suppressLineNumbers w:val="0"/>
              <w:jc w:val="center"/>
              <w:textAlignment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i w:val="0"/>
                <w:iCs w:val="0"/>
                <w:color w:val="000000"/>
                <w:kern w:val="0"/>
                <w:sz w:val="24"/>
                <w:szCs w:val="24"/>
                <w:u w:val="none"/>
                <w:lang w:val="en-US" w:eastAsia="zh-CN" w:bidi="ar"/>
              </w:rPr>
              <w:t>影响金额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27"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递延所得税资产</w:t>
            </w:r>
          </w:p>
        </w:tc>
        <w:tc>
          <w:tcPr>
            <w:tcW w:w="2531"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8,982.70 </w:t>
            </w:r>
          </w:p>
        </w:tc>
        <w:tc>
          <w:tcPr>
            <w:tcW w:w="2233"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28,280.82 </w:t>
            </w:r>
          </w:p>
        </w:tc>
        <w:tc>
          <w:tcPr>
            <w:tcW w:w="1596" w:type="dxa"/>
            <w:vAlign w:val="center"/>
          </w:tcPr>
          <w:p>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19,298.12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27"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递延所得税负债</w:t>
            </w:r>
          </w:p>
        </w:tc>
        <w:tc>
          <w:tcPr>
            <w:tcW w:w="2531"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15,383.16 </w:t>
            </w:r>
          </w:p>
        </w:tc>
        <w:tc>
          <w:tcPr>
            <w:tcW w:w="2233"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34,088.65 </w:t>
            </w:r>
          </w:p>
        </w:tc>
        <w:tc>
          <w:tcPr>
            <w:tcW w:w="1596" w:type="dxa"/>
            <w:vAlign w:val="center"/>
          </w:tcPr>
          <w:p>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18,705.50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27"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未分配利润</w:t>
            </w:r>
          </w:p>
        </w:tc>
        <w:tc>
          <w:tcPr>
            <w:tcW w:w="2531"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123,524.02 </w:t>
            </w:r>
          </w:p>
        </w:tc>
        <w:tc>
          <w:tcPr>
            <w:tcW w:w="2233"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124,085.32 </w:t>
            </w:r>
          </w:p>
        </w:tc>
        <w:tc>
          <w:tcPr>
            <w:tcW w:w="1596" w:type="dxa"/>
            <w:vAlign w:val="center"/>
          </w:tcPr>
          <w:p>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561.30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27"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少数股东权益</w:t>
            </w:r>
          </w:p>
        </w:tc>
        <w:tc>
          <w:tcPr>
            <w:tcW w:w="2531"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876,599.19 </w:t>
            </w:r>
          </w:p>
        </w:tc>
        <w:tc>
          <w:tcPr>
            <w:tcW w:w="2233"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876,630.51 </w:t>
            </w:r>
          </w:p>
        </w:tc>
        <w:tc>
          <w:tcPr>
            <w:tcW w:w="1596" w:type="dxa"/>
            <w:vAlign w:val="center"/>
          </w:tcPr>
          <w:p>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31.32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27"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所得税费用</w:t>
            </w:r>
          </w:p>
        </w:tc>
        <w:tc>
          <w:tcPr>
            <w:tcW w:w="2531"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24,289.83 </w:t>
            </w:r>
          </w:p>
        </w:tc>
        <w:tc>
          <w:tcPr>
            <w:tcW w:w="2233"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23,981.72 </w:t>
            </w:r>
          </w:p>
        </w:tc>
        <w:tc>
          <w:tcPr>
            <w:tcW w:w="1596" w:type="dxa"/>
            <w:vAlign w:val="center"/>
          </w:tcPr>
          <w:p>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-308.11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27"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净利润</w:t>
            </w:r>
          </w:p>
        </w:tc>
        <w:tc>
          <w:tcPr>
            <w:tcW w:w="2531"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118,063.15 </w:t>
            </w:r>
          </w:p>
        </w:tc>
        <w:tc>
          <w:tcPr>
            <w:tcW w:w="2233"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118,371.26 </w:t>
            </w:r>
          </w:p>
        </w:tc>
        <w:tc>
          <w:tcPr>
            <w:tcW w:w="1596" w:type="dxa"/>
            <w:vAlign w:val="center"/>
          </w:tcPr>
          <w:p>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308.11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27"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归属于母公司所有者的利润</w:t>
            </w:r>
          </w:p>
        </w:tc>
        <w:tc>
          <w:tcPr>
            <w:tcW w:w="2531"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67,171.50 </w:t>
            </w:r>
          </w:p>
        </w:tc>
        <w:tc>
          <w:tcPr>
            <w:tcW w:w="2233"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67,461.70 </w:t>
            </w:r>
          </w:p>
        </w:tc>
        <w:tc>
          <w:tcPr>
            <w:tcW w:w="1596" w:type="dxa"/>
            <w:vAlign w:val="center"/>
          </w:tcPr>
          <w:p>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290.21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27"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少数股东损益</w:t>
            </w:r>
          </w:p>
        </w:tc>
        <w:tc>
          <w:tcPr>
            <w:tcW w:w="2531"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50,891.65 </w:t>
            </w:r>
          </w:p>
        </w:tc>
        <w:tc>
          <w:tcPr>
            <w:tcW w:w="2233" w:type="dxa"/>
            <w:vAlign w:val="center"/>
          </w:tcPr>
          <w:p>
            <w:pPr>
              <w:keepNext w:val="0"/>
              <w:keepLines w:val="0"/>
              <w:widowControl/>
              <w:suppressLineNumbers w:val="0"/>
              <w:jc w:val="righ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 xml:space="preserve">50,909.55 </w:t>
            </w:r>
          </w:p>
        </w:tc>
        <w:tc>
          <w:tcPr>
            <w:tcW w:w="1596" w:type="dxa"/>
            <w:vAlign w:val="center"/>
          </w:tcPr>
          <w:p>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17.90 </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sz w:val="18"/>
          <w:szCs w:val="18"/>
        </w:rPr>
      </w:pPr>
    </w:p>
    <w:tbl>
      <w:tblPr>
        <w:tblStyle w:val="4"/>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509"/>
        <w:gridCol w:w="219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314" w:type="pct"/>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报表项目</w:t>
            </w:r>
          </w:p>
        </w:tc>
        <w:tc>
          <w:tcPr>
            <w:tcW w:w="1462" w:type="pct"/>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会计政策变更调整前2021年12月31日/2021年度</w:t>
            </w:r>
          </w:p>
        </w:tc>
        <w:tc>
          <w:tcPr>
            <w:tcW w:w="1279" w:type="pct"/>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会计政策变更调整后2022年1月1日/2021年度</w:t>
            </w:r>
          </w:p>
        </w:tc>
        <w:tc>
          <w:tcPr>
            <w:tcW w:w="943" w:type="pct"/>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影响金额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递延所得税资产</w:t>
            </w:r>
          </w:p>
        </w:tc>
        <w:tc>
          <w:tcPr>
            <w:tcW w:w="1462"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7,473.91 </w:t>
            </w:r>
          </w:p>
        </w:tc>
        <w:tc>
          <w:tcPr>
            <w:tcW w:w="1279"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25,736.05 </w:t>
            </w:r>
          </w:p>
        </w:tc>
        <w:tc>
          <w:tcPr>
            <w:tcW w:w="943"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18,262.13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递延所得税负债</w:t>
            </w:r>
          </w:p>
        </w:tc>
        <w:tc>
          <w:tcPr>
            <w:tcW w:w="1462"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16,720.79 </w:t>
            </w:r>
          </w:p>
        </w:tc>
        <w:tc>
          <w:tcPr>
            <w:tcW w:w="1279"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34,698.40 </w:t>
            </w:r>
          </w:p>
        </w:tc>
        <w:tc>
          <w:tcPr>
            <w:tcW w:w="943"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17,977.62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未分配利润</w:t>
            </w:r>
          </w:p>
        </w:tc>
        <w:tc>
          <w:tcPr>
            <w:tcW w:w="1462"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56,352.53 </w:t>
            </w:r>
          </w:p>
        </w:tc>
        <w:tc>
          <w:tcPr>
            <w:tcW w:w="1279"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56,623.62 </w:t>
            </w:r>
          </w:p>
        </w:tc>
        <w:tc>
          <w:tcPr>
            <w:tcW w:w="943"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少数股东权益</w:t>
            </w:r>
          </w:p>
        </w:tc>
        <w:tc>
          <w:tcPr>
            <w:tcW w:w="1462"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384,754.64 </w:t>
            </w:r>
          </w:p>
        </w:tc>
        <w:tc>
          <w:tcPr>
            <w:tcW w:w="1279"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384,768.06 </w:t>
            </w:r>
          </w:p>
        </w:tc>
        <w:tc>
          <w:tcPr>
            <w:tcW w:w="943"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所得税费用</w:t>
            </w:r>
          </w:p>
        </w:tc>
        <w:tc>
          <w:tcPr>
            <w:tcW w:w="1462"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19,014.18 </w:t>
            </w:r>
          </w:p>
        </w:tc>
        <w:tc>
          <w:tcPr>
            <w:tcW w:w="1279"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18,729.66 </w:t>
            </w:r>
          </w:p>
        </w:tc>
        <w:tc>
          <w:tcPr>
            <w:tcW w:w="943"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-284.52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净利润</w:t>
            </w:r>
          </w:p>
        </w:tc>
        <w:tc>
          <w:tcPr>
            <w:tcW w:w="1462"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85,867.47 </w:t>
            </w:r>
          </w:p>
        </w:tc>
        <w:tc>
          <w:tcPr>
            <w:tcW w:w="1279"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86,151.99 </w:t>
            </w:r>
          </w:p>
        </w:tc>
        <w:tc>
          <w:tcPr>
            <w:tcW w:w="943"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284.52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归属于母公司所有者的利润</w:t>
            </w:r>
          </w:p>
        </w:tc>
        <w:tc>
          <w:tcPr>
            <w:tcW w:w="1462"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50,004.39 </w:t>
            </w:r>
          </w:p>
        </w:tc>
        <w:tc>
          <w:tcPr>
            <w:tcW w:w="1279"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50,275.48 </w:t>
            </w:r>
          </w:p>
        </w:tc>
        <w:tc>
          <w:tcPr>
            <w:tcW w:w="943"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少数股东损益</w:t>
            </w:r>
          </w:p>
        </w:tc>
        <w:tc>
          <w:tcPr>
            <w:tcW w:w="1462"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35,863.08 </w:t>
            </w:r>
          </w:p>
        </w:tc>
        <w:tc>
          <w:tcPr>
            <w:tcW w:w="1279"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35,876.50 </w:t>
            </w:r>
          </w:p>
        </w:tc>
        <w:tc>
          <w:tcPr>
            <w:tcW w:w="943" w:type="pct"/>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13.42 </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宋体"/>
          <w:sz w:val="18"/>
          <w:szCs w:val="18"/>
        </w:rPr>
      </w:pPr>
      <w:r>
        <w:rPr>
          <w:rFonts w:ascii="宋体" w:hAnsi="宋体" w:eastAsia="宋体" w:cs="宋体"/>
          <w:sz w:val="18"/>
          <w:szCs w:val="18"/>
        </w:rPr>
        <w:t>注：上述追溯影响数据未经审计。</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三、关于本次会计政策变更合理性的说明</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次会计政策变更是根据财政部相关文件要求进行的合理变更，能更加客观、公允地反映公司的财务状况和经营成果，能提供更可靠、更准确的会计信息，符合《企业会计准则》的相关规定。本次会计政策变更的追溯调整金额可控，不存在损害公司及中小股东利益的情形。</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特此公告。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righ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吉林电力股份有限公司董事会 </w:t>
      </w:r>
    </w:p>
    <w:p>
      <w:pPr>
        <w:keepNext w:val="0"/>
        <w:keepLines w:val="0"/>
        <w:pageBreakBefore w:val="0"/>
        <w:widowControl/>
        <w:suppressLineNumbers w:val="0"/>
        <w:kinsoku/>
        <w:wordWrap/>
        <w:overflowPunct/>
        <w:topLinePunct w:val="0"/>
        <w:bidi w:val="0"/>
        <w:snapToGrid/>
        <w:spacing w:line="560" w:lineRule="exact"/>
        <w:ind w:left="0" w:firstLine="560" w:firstLineChars="200"/>
        <w:jc w:val="righ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二〇二三年八月二十九日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3CAD1E05"/>
    <w:rsid w:val="04DB5076"/>
    <w:rsid w:val="12185134"/>
    <w:rsid w:val="20DB18C9"/>
    <w:rsid w:val="28100FAC"/>
    <w:rsid w:val="28AA562F"/>
    <w:rsid w:val="393A1C9A"/>
    <w:rsid w:val="3CAD1E05"/>
    <w:rsid w:val="3F440DE0"/>
    <w:rsid w:val="58C52932"/>
    <w:rsid w:val="5E7441C0"/>
    <w:rsid w:val="5E870A66"/>
    <w:rsid w:val="6BEB45FE"/>
    <w:rsid w:val="6CE41B96"/>
    <w:rsid w:val="6DAC44F7"/>
    <w:rsid w:val="72B648F6"/>
    <w:rsid w:val="7A153358"/>
    <w:rsid w:val="7E7D742A"/>
    <w:rsid w:val="7F25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line="500" w:lineRule="exact"/>
      <w:ind w:left="1440" w:leftChars="700" w:right="1440" w:rightChars="700" w:firstLine="200" w:firstLineChars="200"/>
      <w:jc w:val="left"/>
    </w:pPr>
    <w:rPr>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1741</Words>
  <Characters>2179</Characters>
  <Lines>0</Lines>
  <Paragraphs>0</Paragraphs>
  <TotalTime>148</TotalTime>
  <ScaleCrop>false</ScaleCrop>
  <LinksUpToDate>false</LinksUpToDate>
  <CharactersWithSpaces>2302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2023-07-12T01:17:00Z</dcterms:created>
  <dc:creator>筱灬天</dc:creator>
  <cp:lastModifiedBy>WPS_1591103659</cp:lastModifiedBy>
  <cp:lastPrinted>2023-08-10T01:15:00Z</cp:lastPrinted>
  <dcterms:modified xsi:type="dcterms:W3CDTF">2023-08-23T06:17:35Z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E28CECE28D9342E090DB6D73D88D4E17</vt:lpwstr>
  </property>
</Properties>
</file>