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宋体"/>
          <w:u w:val="single"/>
        </w:rPr>
      </w:pPr>
      <w:r>
        <w:rPr>
          <w:rFonts w:ascii="Times New Roman" w:hAnsi="Times New Roman"/>
        </w:rPr>
        <w:t xml:space="preserve">证券代码：000875         </w:t>
      </w:r>
      <w:r>
        <w:rPr>
          <w:rFonts w:hint="eastAsia" w:ascii="Times New Roman" w:hAnsi="Times New Roman"/>
        </w:rPr>
        <w:t xml:space="preserve">  </w:t>
      </w:r>
      <w:r>
        <w:rPr>
          <w:rFonts w:ascii="Times New Roman" w:hAnsi="Times New Roman"/>
        </w:rPr>
        <w:t xml:space="preserve"> 证券简称：吉电股份       </w:t>
      </w:r>
      <w:r>
        <w:rPr>
          <w:rFonts w:hint="eastAsia" w:ascii="Times New Roman" w:hAnsi="Times New Roman"/>
        </w:rPr>
        <w:t xml:space="preserve"> </w:t>
      </w:r>
      <w:r>
        <w:rPr>
          <w:rFonts w:ascii="Times New Roman" w:hAnsi="Times New Roman"/>
        </w:rPr>
        <w:t xml:space="preserve">      公告编号：</w:t>
      </w:r>
      <w:r>
        <w:rPr>
          <w:rFonts w:ascii="Times New Roman" w:hAnsi="Times New Roman" w:cs="Times New Roman"/>
        </w:rPr>
        <w:t>2023-0</w:t>
      </w:r>
      <w:r>
        <w:rPr>
          <w:rFonts w:hint="eastAsia" w:ascii="Times New Roman" w:hAnsi="Times New Roman" w:cs="Times New Roman"/>
        </w:rPr>
        <w:t>69</w:t>
      </w:r>
    </w:p>
    <w:p>
      <w:pPr>
        <w:spacing w:line="580" w:lineRule="exact"/>
      </w:pPr>
      <w:r>
        <w:rPr>
          <w:rFonts w:ascii="Times New Roman" w:hAnsi="Times New Roman"/>
          <w:color w:val="FF6600"/>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17780</wp:posOffset>
                </wp:positionV>
                <wp:extent cx="5417820" cy="22860"/>
                <wp:effectExtent l="0" t="28575" r="7620" b="40005"/>
                <wp:wrapNone/>
                <wp:docPr id="1" name="直接连接符 1"/>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8.4pt;margin-top:1.4pt;height:1.8pt;width:426.6pt;z-index:251659264;mso-width-relative:page;mso-height-relative:page;" filled="f" stroked="t" coordsize="21600,21600" o:gfxdata="UEsDBAoAAAAAAIdO4kAAAAAAAAAAAAAAAAAEAAAAZHJzL1BLAwQUAAAACACHTuJA3c3t5dQAAAAH&#10;AQAADwAAAGRycy9kb3ducmV2LnhtbE2OMWvDMBSE90L/g3iBbolkt5jg+jlDoEOX0rqFroql2CbW&#10;k7Bkx/n3fZ3a6TjuuPuqw+pGsdgpDp4Qsp0CYan1ZqAO4evzZbsHEZMmo0dPFuFmIxzq+7tKl8Zf&#10;6cMuTeoEj1AsNUKfUiiljG1vnY47HyxxdvaT04nt1Ekz6SuPu1HmShXS6YH4odfBHnvbXprZITSr&#10;CkGObxc3Z995eF1u+fu5QXzYZOoZRLJr+ivDLz6jQ81MJz+TiWJE2GYFoyeEnIXz/WPxBOKEwCLr&#10;Sv7nr38AUEsDBBQAAAAIAIdO4kDyjqv0AgIAAPsDAAAOAAAAZHJzL2Uyb0RvYy54bWytU72OEzEQ&#10;7pF4B8s92U3E5aJVNldcCA2CSBz0jn+yFv6Tx5dNXoIXQKKDipL+3objMRh7c9FxNClorLFn/Hm+&#10;bz7Pr/bWkJ2MoL1r6XhUUyId90K7bUs/3KxezCiBxJxgxjvZ0oMEerV4/mzeh0ZOfOeNkJEgiIOm&#10;Dy3tUgpNVQHvpGUw8kE6TCofLUu4jdtKRNYjujXVpK6nVe+jCNFzCYCnyyFJj4jxHECvlOZy6fmt&#10;lS4NqFEalpASdDoAXZRulZI8vVMKZCKmpcg0lRUfwXiT12oxZ802stBpfmyBndPCE06WaYePnqCW&#10;LDFyG/U/UFbz6MGrNOLeVgORogiyGNdPtHnfsSALF5Qawkl0+H+w/O1uHYkW6ARKHLM48PsvP399&#10;/vb77iuu9z++k3EWqQ/QYO21W8fjDsI6ZsZ7FS1RRoePGSOfICuyLxIfThLLfSIcDy9eji9nE1Sf&#10;Y24ymU3LCKoBJl8OEdJr6S3JQUuNdlkB1rDdG0j4NJY+lORj40iPqJfji4zJ0I8KfYChDcgpddrd&#10;4GQ/FQjwRouVNiZfhLjdXJtIdgydsVpNp/VDJ3+V5beWDLqhrqQGz3SSiVdOkHQIqJnDr0JzJ1YK&#10;SozEn5Wj4q7EtDmnEpkZl1uTxbdHuln4Qeocbbw4lAlUeYeeKIIc/ZtN93iP8eM/u/g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c3t5dQAAAAHAQAADwAAAAAAAAABACAAAAAiAAAAZHJzL2Rvd25y&#10;ZXYueG1sUEsBAhQAFAAAAAgAh07iQPKOq/QCAgAA+wMAAA4AAAAAAAAAAQAgAAAAIwEAAGRycy9l&#10;Mm9Eb2MueG1sUEsFBgAAAAAGAAYAWQEAAJcFAAAAAA==&#10;">
                <v:fill on="f" focussize="0,0"/>
                <v:stroke weight="4.5pt" color="#FF6600" linestyle="thinThick" joinstyle="round"/>
                <v:imagedata o:title=""/>
                <o:lock v:ext="edit" aspectratio="f"/>
              </v:line>
            </w:pict>
          </mc:Fallback>
        </mc:AlternateContent>
      </w:r>
    </w:p>
    <w:p>
      <w:pPr>
        <w:spacing w:line="560" w:lineRule="exact"/>
        <w:jc w:val="center"/>
        <w:rPr>
          <w:rFonts w:ascii="Times New Roman" w:hAnsi="Times New Roman"/>
          <w:b/>
          <w:sz w:val="44"/>
          <w:szCs w:val="44"/>
        </w:rPr>
      </w:pPr>
      <w:r>
        <w:rPr>
          <w:rFonts w:ascii="Times New Roman" w:hAnsi="Times New Roman"/>
          <w:b/>
          <w:sz w:val="44"/>
          <w:szCs w:val="44"/>
        </w:rPr>
        <w:t>吉林电力股份有限公司</w:t>
      </w:r>
    </w:p>
    <w:p>
      <w:pPr>
        <w:spacing w:line="560" w:lineRule="exact"/>
        <w:jc w:val="center"/>
        <w:rPr>
          <w:rFonts w:ascii="Times New Roman" w:hAnsi="Times New Roman"/>
          <w:b/>
          <w:sz w:val="44"/>
          <w:szCs w:val="44"/>
        </w:rPr>
      </w:pPr>
      <w:r>
        <w:rPr>
          <w:rFonts w:hint="eastAsia" w:ascii="Times New Roman" w:hAnsi="Times New Roman"/>
          <w:b/>
          <w:sz w:val="44"/>
          <w:szCs w:val="44"/>
        </w:rPr>
        <w:t>关于向特定对象发行股票申请文件更新财务数据的提示性公告</w:t>
      </w:r>
    </w:p>
    <w:p>
      <w:pPr>
        <w:pStyle w:val="8"/>
        <w:spacing w:line="560" w:lineRule="exact"/>
        <w:ind w:firstLine="640"/>
      </w:pP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本公司及董事会全体成员保证信息披露的内容真实、准确、完整，没有虚假记载、误导性陈述或重大遗漏。</w:t>
      </w:r>
    </w:p>
    <w:p>
      <w:pPr>
        <w:spacing w:line="560" w:lineRule="exact"/>
      </w:pPr>
    </w:p>
    <w:p>
      <w:pPr>
        <w:widowControl/>
        <w:spacing w:line="56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吉林电力股份有限公司（以下简称“公司”）向特定对象发行股票事项已获得深圳证券交易所上市审核中心审核通过。具体内容详见公司于2023年7月13日</w:t>
      </w:r>
      <w:r>
        <w:rPr>
          <w:rFonts w:hint="eastAsia" w:ascii="仿宋" w:hAnsi="仿宋" w:eastAsia="仿宋"/>
          <w:sz w:val="28"/>
          <w:szCs w:val="28"/>
        </w:rPr>
        <w:t>刊载于巨潮资讯网</w:t>
      </w:r>
      <w:r>
        <w:rPr>
          <w:rFonts w:hint="eastAsia" w:ascii="仿宋" w:hAnsi="仿宋" w:eastAsia="仿宋" w:cs="仿宋_GB2312"/>
          <w:color w:val="000000"/>
          <w:sz w:val="28"/>
          <w:szCs w:val="28"/>
        </w:rPr>
        <w:t>（</w:t>
      </w:r>
      <w:r>
        <w:rPr>
          <w:rFonts w:ascii="仿宋" w:hAnsi="仿宋" w:eastAsia="仿宋"/>
          <w:color w:val="000000"/>
          <w:sz w:val="28"/>
          <w:szCs w:val="28"/>
        </w:rPr>
        <w:t>www.cninfo.com.cn</w:t>
      </w:r>
      <w:r>
        <w:rPr>
          <w:rFonts w:hint="eastAsia" w:ascii="仿宋" w:hAnsi="仿宋" w:eastAsia="仿宋" w:cs="仿宋_GB2312"/>
          <w:color w:val="000000"/>
          <w:sz w:val="28"/>
          <w:szCs w:val="28"/>
        </w:rPr>
        <w:t>）</w:t>
      </w:r>
      <w:r>
        <w:rPr>
          <w:rFonts w:hint="eastAsia" w:ascii="仿宋" w:hAnsi="仿宋" w:eastAsia="仿宋"/>
          <w:sz w:val="28"/>
          <w:szCs w:val="28"/>
        </w:rPr>
        <w:t>上的</w:t>
      </w:r>
      <w:r>
        <w:rPr>
          <w:rFonts w:hint="eastAsia" w:ascii="仿宋" w:hAnsi="仿宋" w:eastAsia="仿宋" w:cs="仿宋"/>
          <w:color w:val="000000"/>
          <w:kern w:val="0"/>
          <w:sz w:val="28"/>
          <w:szCs w:val="28"/>
          <w:lang w:bidi="ar"/>
        </w:rPr>
        <w:t xml:space="preserve">《关于收到深圳证券交易所&lt;关于吉林电力股份有限公司申请向特定对象发行股票的审核中心意见告知函&gt;的公告》（公告编号：2023-055）。 </w:t>
      </w:r>
    </w:p>
    <w:p>
      <w:pPr>
        <w:widowControl/>
        <w:spacing w:line="560" w:lineRule="exact"/>
        <w:ind w:firstLine="560" w:firstLineChars="200"/>
        <w:jc w:val="left"/>
        <w:rPr>
          <w:rFonts w:ascii="仿宋" w:hAnsi="仿宋" w:eastAsia="仿宋" w:cs="仿宋"/>
          <w:color w:val="000000"/>
          <w:kern w:val="0"/>
          <w:sz w:val="28"/>
          <w:szCs w:val="28"/>
          <w:lang w:bidi="ar"/>
        </w:rPr>
      </w:pPr>
      <w:r>
        <w:rPr>
          <w:rFonts w:ascii="仿宋" w:hAnsi="仿宋" w:eastAsia="仿宋" w:cs="仿宋"/>
          <w:color w:val="000000"/>
          <w:kern w:val="0"/>
          <w:sz w:val="28"/>
          <w:szCs w:val="28"/>
          <w:lang w:bidi="ar"/>
        </w:rPr>
        <w:t>鉴于公司于2023年8月</w:t>
      </w:r>
      <w:r>
        <w:rPr>
          <w:rFonts w:hint="eastAsia" w:ascii="仿宋" w:hAnsi="仿宋" w:eastAsia="仿宋" w:cs="仿宋"/>
          <w:color w:val="000000"/>
          <w:kern w:val="0"/>
          <w:sz w:val="28"/>
          <w:szCs w:val="28"/>
          <w:lang w:bidi="ar"/>
        </w:rPr>
        <w:t>30</w:t>
      </w:r>
      <w:r>
        <w:rPr>
          <w:rFonts w:ascii="仿宋" w:hAnsi="仿宋" w:eastAsia="仿宋" w:cs="仿宋"/>
          <w:color w:val="000000"/>
          <w:kern w:val="0"/>
          <w:sz w:val="28"/>
          <w:szCs w:val="28"/>
          <w:lang w:bidi="ar"/>
        </w:rPr>
        <w:t>日披露了《2023年半年度报告》，公司会同相关中介机构对</w:t>
      </w:r>
      <w:r>
        <w:rPr>
          <w:rFonts w:hint="eastAsia" w:ascii="仿宋" w:hAnsi="仿宋" w:eastAsia="仿宋" w:cs="仿宋"/>
          <w:color w:val="000000"/>
          <w:kern w:val="0"/>
          <w:sz w:val="28"/>
          <w:szCs w:val="28"/>
          <w:lang w:bidi="ar"/>
        </w:rPr>
        <w:t>审核</w:t>
      </w:r>
      <w:r>
        <w:rPr>
          <w:rFonts w:ascii="仿宋" w:hAnsi="仿宋" w:eastAsia="仿宋" w:cs="仿宋"/>
          <w:color w:val="000000"/>
          <w:kern w:val="0"/>
          <w:sz w:val="28"/>
          <w:szCs w:val="28"/>
          <w:lang w:bidi="ar"/>
        </w:rPr>
        <w:t>问询函回复</w:t>
      </w:r>
      <w:r>
        <w:rPr>
          <w:rFonts w:hint="eastAsia" w:ascii="仿宋" w:hAnsi="仿宋" w:eastAsia="仿宋" w:cs="仿宋"/>
          <w:color w:val="000000"/>
          <w:kern w:val="0"/>
          <w:sz w:val="28"/>
          <w:szCs w:val="28"/>
          <w:lang w:bidi="ar"/>
        </w:rPr>
        <w:t>报告</w:t>
      </w:r>
      <w:r>
        <w:rPr>
          <w:rFonts w:ascii="仿宋" w:hAnsi="仿宋" w:eastAsia="仿宋" w:cs="仿宋"/>
          <w:color w:val="000000"/>
          <w:kern w:val="0"/>
          <w:sz w:val="28"/>
          <w:szCs w:val="28"/>
          <w:lang w:bidi="ar"/>
        </w:rPr>
        <w:t>及募集说明书等文件中涉及的财务数据及其他变动事项进行了更新，具体内容详见公司</w:t>
      </w:r>
      <w:bookmarkStart w:id="0" w:name="_GoBack"/>
      <w:bookmarkEnd w:id="0"/>
      <w:r>
        <w:rPr>
          <w:rFonts w:ascii="仿宋" w:hAnsi="仿宋" w:eastAsia="仿宋" w:cs="仿宋"/>
          <w:color w:val="000000"/>
          <w:kern w:val="0"/>
          <w:sz w:val="28"/>
          <w:szCs w:val="28"/>
          <w:lang w:bidi="ar"/>
        </w:rPr>
        <w:t>在巨潮资讯网（www.cninfo.com.cn）上披露的</w:t>
      </w:r>
      <w:r>
        <w:rPr>
          <w:rFonts w:hint="eastAsia" w:ascii="仿宋" w:hAnsi="仿宋" w:eastAsia="仿宋" w:cs="仿宋"/>
          <w:color w:val="000000"/>
          <w:kern w:val="0"/>
          <w:sz w:val="28"/>
          <w:szCs w:val="28"/>
          <w:lang w:bidi="ar"/>
        </w:rPr>
        <w:t>《关于</w:t>
      </w:r>
      <w:r>
        <w:rPr>
          <w:rFonts w:ascii="仿宋" w:hAnsi="仿宋" w:eastAsia="仿宋" w:cs="仿宋"/>
          <w:color w:val="000000"/>
          <w:kern w:val="0"/>
          <w:sz w:val="28"/>
          <w:szCs w:val="28"/>
          <w:lang w:bidi="ar"/>
        </w:rPr>
        <w:t>吉林电力股份有限公司申请向特定对象发行股票的审核问询函的回复报告（2023年半年报更新版）</w:t>
      </w:r>
      <w:r>
        <w:rPr>
          <w:rFonts w:hint="eastAsia" w:ascii="仿宋" w:hAnsi="仿宋" w:eastAsia="仿宋" w:cs="仿宋"/>
          <w:color w:val="000000"/>
          <w:kern w:val="0"/>
          <w:sz w:val="28"/>
          <w:szCs w:val="28"/>
          <w:lang w:bidi="ar"/>
        </w:rPr>
        <w:t>》《吉林电力股份有限公司向特定对象发行A股股票募集说明书（注册稿）（2023年半年报更新版）》等</w:t>
      </w:r>
      <w:r>
        <w:rPr>
          <w:rFonts w:ascii="仿宋" w:hAnsi="仿宋" w:eastAsia="仿宋" w:cs="仿宋"/>
          <w:color w:val="000000"/>
          <w:kern w:val="0"/>
          <w:sz w:val="28"/>
          <w:szCs w:val="28"/>
          <w:lang w:bidi="ar"/>
        </w:rPr>
        <w:t>相关公告文件。</w:t>
      </w:r>
    </w:p>
    <w:p>
      <w:pPr>
        <w:widowControl/>
        <w:spacing w:line="560" w:lineRule="exact"/>
        <w:ind w:firstLine="560" w:firstLineChars="200"/>
        <w:jc w:val="left"/>
        <w:rPr>
          <w:rFonts w:ascii="仿宋" w:hAnsi="仿宋" w:eastAsia="仿宋" w:cs="仿宋"/>
          <w:color w:val="000000"/>
          <w:kern w:val="0"/>
          <w:sz w:val="28"/>
          <w:szCs w:val="28"/>
          <w:lang w:bidi="ar"/>
        </w:rPr>
      </w:pPr>
      <w:r>
        <w:rPr>
          <w:rFonts w:ascii="仿宋" w:hAnsi="仿宋" w:eastAsia="仿宋" w:cs="仿宋"/>
          <w:color w:val="000000"/>
          <w:kern w:val="0"/>
          <w:sz w:val="28"/>
          <w:szCs w:val="28"/>
          <w:lang w:bidi="ar"/>
        </w:rPr>
        <w:t>公司本次向特定对象发行股票事项尚需获得中国证券监督管理委员会（以下简称“中国证监会”）作出同意注册的决定后方可实施，最终能否获得中国证监会同意注册的决定及其时间尚存在不确定性。公司将根据</w:t>
      </w:r>
      <w:r>
        <w:rPr>
          <w:rFonts w:hint="eastAsia" w:ascii="仿宋" w:hAnsi="仿宋" w:eastAsia="仿宋" w:cs="仿宋"/>
          <w:color w:val="000000"/>
          <w:kern w:val="0"/>
          <w:sz w:val="28"/>
          <w:szCs w:val="28"/>
          <w:lang w:bidi="ar"/>
        </w:rPr>
        <w:t>该事项的</w:t>
      </w:r>
      <w:r>
        <w:rPr>
          <w:rFonts w:ascii="仿宋" w:hAnsi="仿宋" w:eastAsia="仿宋" w:cs="仿宋"/>
          <w:color w:val="000000"/>
          <w:kern w:val="0"/>
          <w:sz w:val="28"/>
          <w:szCs w:val="28"/>
          <w:lang w:bidi="ar"/>
        </w:rPr>
        <w:t>进展情况及时履行信息披露义务</w:t>
      </w:r>
      <w:r>
        <w:rPr>
          <w:rFonts w:hint="eastAsia" w:ascii="仿宋" w:hAnsi="仿宋" w:eastAsia="仿宋" w:cs="仿宋"/>
          <w:color w:val="000000"/>
          <w:kern w:val="0"/>
          <w:sz w:val="28"/>
          <w:szCs w:val="28"/>
          <w:lang w:bidi="ar"/>
        </w:rPr>
        <w:t>，</w:t>
      </w:r>
      <w:r>
        <w:rPr>
          <w:rFonts w:ascii="仿宋" w:hAnsi="仿宋" w:eastAsia="仿宋" w:cs="仿宋"/>
          <w:color w:val="000000"/>
          <w:kern w:val="0"/>
          <w:sz w:val="28"/>
          <w:szCs w:val="28"/>
          <w:lang w:bidi="ar"/>
        </w:rPr>
        <w:t>敬请广大投资者注意</w:t>
      </w:r>
      <w:r>
        <w:rPr>
          <w:rFonts w:hint="eastAsia" w:ascii="仿宋" w:hAnsi="仿宋" w:eastAsia="仿宋" w:cs="仿宋"/>
          <w:color w:val="000000"/>
          <w:kern w:val="0"/>
          <w:sz w:val="28"/>
          <w:szCs w:val="28"/>
          <w:lang w:bidi="ar"/>
        </w:rPr>
        <w:t>投资</w:t>
      </w:r>
      <w:r>
        <w:rPr>
          <w:rFonts w:ascii="仿宋" w:hAnsi="仿宋" w:eastAsia="仿宋" w:cs="仿宋"/>
          <w:color w:val="000000"/>
          <w:kern w:val="0"/>
          <w:sz w:val="28"/>
          <w:szCs w:val="28"/>
          <w:lang w:bidi="ar"/>
        </w:rPr>
        <w:t>风险。</w:t>
      </w:r>
    </w:p>
    <w:p>
      <w:pPr>
        <w:widowControl/>
        <w:spacing w:line="560" w:lineRule="exact"/>
        <w:ind w:firstLine="560" w:firstLineChars="200"/>
        <w:jc w:val="left"/>
        <w:rPr>
          <w:rFonts w:ascii="仿宋" w:hAnsi="仿宋" w:eastAsia="仿宋" w:cs="仿宋"/>
          <w:color w:val="000000"/>
          <w:kern w:val="0"/>
          <w:sz w:val="28"/>
          <w:szCs w:val="28"/>
          <w:lang w:bidi="ar"/>
        </w:rPr>
      </w:pPr>
    </w:p>
    <w:p>
      <w:pPr>
        <w:widowControl/>
        <w:spacing w:line="560" w:lineRule="exact"/>
        <w:ind w:firstLine="560" w:firstLineChars="200"/>
        <w:jc w:val="left"/>
        <w:rPr>
          <w:rFonts w:ascii="仿宋" w:hAnsi="仿宋" w:eastAsia="仿宋" w:cs="仿宋"/>
          <w:color w:val="000000"/>
          <w:kern w:val="0"/>
          <w:sz w:val="28"/>
          <w:szCs w:val="28"/>
          <w:lang w:bidi="ar"/>
        </w:rPr>
      </w:pPr>
      <w:r>
        <w:rPr>
          <w:rFonts w:ascii="仿宋" w:hAnsi="仿宋" w:eastAsia="仿宋" w:cs="仿宋"/>
          <w:color w:val="000000"/>
          <w:kern w:val="0"/>
          <w:sz w:val="28"/>
          <w:szCs w:val="28"/>
          <w:lang w:bidi="ar"/>
        </w:rPr>
        <w:t>特此公告。</w:t>
      </w:r>
    </w:p>
    <w:p>
      <w:pPr>
        <w:widowControl/>
        <w:spacing w:line="560" w:lineRule="exact"/>
        <w:ind w:firstLine="560" w:firstLineChars="200"/>
        <w:jc w:val="left"/>
        <w:rPr>
          <w:rFonts w:ascii="仿宋" w:hAnsi="仿宋" w:eastAsia="仿宋" w:cs="仿宋"/>
          <w:color w:val="000000"/>
          <w:kern w:val="0"/>
          <w:sz w:val="28"/>
          <w:szCs w:val="28"/>
          <w:lang w:bidi="ar"/>
        </w:rPr>
      </w:pPr>
    </w:p>
    <w:p>
      <w:pPr>
        <w:widowControl/>
        <w:spacing w:line="560" w:lineRule="exact"/>
        <w:ind w:firstLine="560" w:firstLineChars="200"/>
        <w:jc w:val="righ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吉林电力股份有限公司董事会</w:t>
      </w:r>
    </w:p>
    <w:p>
      <w:pPr>
        <w:widowControl/>
        <w:spacing w:line="560" w:lineRule="exact"/>
        <w:ind w:firstLine="560" w:firstLineChars="200"/>
        <w:jc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                             二○二三年九月十三日</w:t>
      </w:r>
    </w:p>
    <w:p>
      <w:pPr>
        <w:pStyle w:val="4"/>
        <w:spacing w:line="560" w:lineRule="exact"/>
        <w:ind w:left="1470" w:right="1470" w:firstLine="560"/>
        <w:rPr>
          <w:rFonts w:ascii="仿宋" w:hAnsi="仿宋" w:eastAsia="仿宋" w:cs="仿宋"/>
          <w:color w:val="000000"/>
          <w:kern w:val="0"/>
          <w:sz w:val="28"/>
          <w:szCs w:val="28"/>
          <w:lang w:bidi="ar"/>
        </w:rPr>
      </w:pPr>
    </w:p>
    <w:p>
      <w:pPr>
        <w:pStyle w:val="4"/>
        <w:spacing w:line="560" w:lineRule="exact"/>
        <w:ind w:left="0" w:leftChars="0" w:right="1470" w:firstLine="0" w:firstLineChars="0"/>
        <w:rPr>
          <w:rFonts w:ascii="仿宋" w:hAnsi="仿宋" w:eastAsia="仿宋" w:cs="仿宋"/>
          <w:color w:val="000000"/>
          <w:kern w:val="0"/>
          <w:sz w:val="28"/>
          <w:szCs w:val="28"/>
          <w:lang w:bidi="ar"/>
        </w:rPr>
      </w:pPr>
    </w:p>
    <w:p>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yZDUxMmU3NmEwMTE5M2Q5ZTg0MGVmOGY5OWRhMDQifQ=="/>
  </w:docVars>
  <w:rsids>
    <w:rsidRoot w:val="4B54433E"/>
    <w:rsid w:val="00052CA3"/>
    <w:rsid w:val="009A220E"/>
    <w:rsid w:val="00C5650A"/>
    <w:rsid w:val="059D3F6C"/>
    <w:rsid w:val="07FD051F"/>
    <w:rsid w:val="11602C61"/>
    <w:rsid w:val="16EA4D99"/>
    <w:rsid w:val="1A6E47A8"/>
    <w:rsid w:val="208E741C"/>
    <w:rsid w:val="22A47852"/>
    <w:rsid w:val="22C04FEA"/>
    <w:rsid w:val="2BA9457F"/>
    <w:rsid w:val="34112F76"/>
    <w:rsid w:val="47727F60"/>
    <w:rsid w:val="49FE360E"/>
    <w:rsid w:val="4B54433E"/>
    <w:rsid w:val="4DE27F4A"/>
    <w:rsid w:val="4E7D316E"/>
    <w:rsid w:val="55943E9C"/>
    <w:rsid w:val="58C15992"/>
    <w:rsid w:val="5D8E069E"/>
    <w:rsid w:val="62E85FE3"/>
    <w:rsid w:val="6A5D0083"/>
    <w:rsid w:val="721D203F"/>
    <w:rsid w:val="737A4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iPriority w:val="0"/>
    <w:pPr>
      <w:jc w:val="left"/>
    </w:pPr>
  </w:style>
  <w:style w:type="paragraph" w:styleId="3">
    <w:name w:val="Body Text Indent"/>
    <w:basedOn w:val="1"/>
    <w:next w:val="1"/>
    <w:qFormat/>
    <w:uiPriority w:val="0"/>
    <w:pPr>
      <w:ind w:firstLine="640" w:firstLineChars="200"/>
    </w:pPr>
    <w:rPr>
      <w:sz w:val="32"/>
    </w:rPr>
  </w:style>
  <w:style w:type="paragraph" w:styleId="4">
    <w:name w:val="Block Text"/>
    <w:basedOn w:val="1"/>
    <w:unhideWhenUsed/>
    <w:qFormat/>
    <w:uiPriority w:val="99"/>
    <w:pPr>
      <w:spacing w:after="120" w:line="500" w:lineRule="exact"/>
      <w:ind w:left="1440" w:leftChars="700" w:right="1440" w:rightChars="700" w:firstLine="200" w:firstLineChars="200"/>
      <w:jc w:val="left"/>
    </w:pPr>
    <w:rPr>
      <w:szCs w:val="20"/>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tabs>
        <w:tab w:val="center" w:pos="4153"/>
        <w:tab w:val="right" w:pos="8306"/>
      </w:tabs>
      <w:snapToGrid w:val="0"/>
      <w:jc w:val="center"/>
    </w:pPr>
    <w:rPr>
      <w:sz w:val="18"/>
      <w:szCs w:val="18"/>
    </w:rPr>
  </w:style>
  <w:style w:type="paragraph" w:styleId="7">
    <w:name w:val="annotation subject"/>
    <w:basedOn w:val="2"/>
    <w:next w:val="2"/>
    <w:link w:val="16"/>
    <w:uiPriority w:val="0"/>
    <w:rPr>
      <w:b/>
      <w:bCs/>
    </w:rPr>
  </w:style>
  <w:style w:type="paragraph" w:styleId="8">
    <w:name w:val="Body Text First Indent 2"/>
    <w:basedOn w:val="3"/>
    <w:qFormat/>
    <w:uiPriority w:val="0"/>
    <w:pPr>
      <w:ind w:firstLine="420"/>
    </w:pPr>
    <w:rPr>
      <w:rFonts w:ascii="Times New Roman" w:hAnsi="Times New Roman"/>
    </w:rPr>
  </w:style>
  <w:style w:type="character" w:styleId="11">
    <w:name w:val="annotation reference"/>
    <w:basedOn w:val="10"/>
    <w:uiPriority w:val="0"/>
    <w:rPr>
      <w:sz w:val="21"/>
      <w:szCs w:val="21"/>
    </w:rPr>
  </w:style>
  <w:style w:type="character" w:customStyle="1" w:styleId="12">
    <w:name w:val="页眉 字符"/>
    <w:basedOn w:val="10"/>
    <w:link w:val="6"/>
    <w:uiPriority w:val="0"/>
    <w:rPr>
      <w:rFonts w:asciiTheme="minorHAnsi" w:hAnsiTheme="minorHAnsi" w:eastAsiaTheme="minorEastAsia" w:cstheme="minorBidi"/>
      <w:kern w:val="2"/>
      <w:sz w:val="18"/>
      <w:szCs w:val="18"/>
    </w:rPr>
  </w:style>
  <w:style w:type="character" w:customStyle="1" w:styleId="13">
    <w:name w:val="页脚 字符"/>
    <w:basedOn w:val="10"/>
    <w:link w:val="5"/>
    <w:uiPriority w:val="0"/>
    <w:rPr>
      <w:rFonts w:asciiTheme="minorHAnsi" w:hAnsiTheme="minorHAnsi" w:eastAsiaTheme="minorEastAsia" w:cstheme="minorBidi"/>
      <w:kern w:val="2"/>
      <w:sz w:val="18"/>
      <w:szCs w:val="18"/>
    </w:rPr>
  </w:style>
  <w:style w:type="paragraph" w:customStyle="1" w:styleId="14">
    <w:name w:val="Revision"/>
    <w:hidden/>
    <w:unhideWhenUsed/>
    <w:uiPriority w:val="99"/>
    <w:rPr>
      <w:rFonts w:asciiTheme="minorHAnsi" w:hAnsiTheme="minorHAnsi" w:eastAsiaTheme="minorEastAsia" w:cstheme="minorBidi"/>
      <w:kern w:val="2"/>
      <w:sz w:val="21"/>
      <w:szCs w:val="24"/>
      <w:lang w:val="en-US" w:eastAsia="zh-CN" w:bidi="ar-SA"/>
    </w:rPr>
  </w:style>
  <w:style w:type="character" w:customStyle="1" w:styleId="15">
    <w:name w:val="批注文字 字符"/>
    <w:basedOn w:val="10"/>
    <w:link w:val="2"/>
    <w:uiPriority w:val="0"/>
    <w:rPr>
      <w:rFonts w:asciiTheme="minorHAnsi" w:hAnsiTheme="minorHAnsi" w:eastAsiaTheme="minorEastAsia" w:cstheme="minorBidi"/>
      <w:kern w:val="2"/>
      <w:sz w:val="21"/>
      <w:szCs w:val="24"/>
    </w:rPr>
  </w:style>
  <w:style w:type="character" w:customStyle="1" w:styleId="16">
    <w:name w:val="批注主题 字符"/>
    <w:basedOn w:val="15"/>
    <w:link w:val="7"/>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113</Words>
  <Characters>650</Characters>
  <Lines>5</Lines>
  <Paragraphs>1</Paragraphs>
  <TotalTime>9</TotalTime>
  <ScaleCrop>false</ScaleCrop>
  <LinksUpToDate>false</LinksUpToDate>
  <CharactersWithSpaces>762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2023-09-13T07:46:00Z</dcterms:created>
  <dc:creator>WPS_1591103659</dc:creator>
  <cp:lastModifiedBy>WPS_1591103659</cp:lastModifiedBy>
  <dcterms:modified xsi:type="dcterms:W3CDTF">2023-09-13T08:17:50Z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601BB4178B0B4E96A6E0A61124661B73_13</vt:lpwstr>
  </property>
</Properties>
</file>