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eastAsia="宋体"/>
          <w:lang w:val="en-US" w:eastAsia="zh-CN"/>
        </w:rPr>
      </w:pPr>
      <w:r>
        <w:t xml:space="preserve">证券代码：000875   </w:t>
      </w:r>
      <w:r>
        <w:rPr>
          <w:rFonts w:hint="eastAsia"/>
        </w:rPr>
        <w:t xml:space="preserve">         </w:t>
      </w:r>
      <w:r>
        <w:t>证券简称：吉电股份</w:t>
      </w:r>
      <w:r>
        <w:rPr>
          <w:rFonts w:hint="eastAsia"/>
        </w:rPr>
        <w:t xml:space="preserve">               </w:t>
      </w:r>
      <w:r>
        <w:t>公告编号：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073</w:t>
      </w:r>
    </w:p>
    <w:p>
      <w:pPr>
        <w:spacing w:line="240" w:lineRule="auto"/>
        <w:jc w:val="left"/>
        <w:rPr>
          <w:rFonts w:hint="eastAsia"/>
          <w:b/>
          <w:sz w:val="44"/>
          <w:szCs w:val="44"/>
        </w:rPr>
      </w:pPr>
      <w:r>
        <w:rPr>
          <w:color w:val="FF66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17820" cy="22860"/>
                <wp:effectExtent l="0" t="28575" r="7620" b="4000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2286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0pt;margin-top:0pt;height:1.8pt;width:426.6pt;z-index:251659264;mso-width-relative:page;mso-height-relative:page;" filled="f" stroked="t" coordsize="21600,21600" o:gfxdata="UEsDBAoAAAAAAIdO4kAAAAAAAAAAAAAAAAAEAAAAZHJzL1BLAwQUAAAACACHTuJAccqSy9MAAAAD&#10;AQAADwAAAGRycy9kb3ducmV2LnhtbE2PwWrDMBBE74X8g9hAb41kh4bgWM4hkEMupXULuSrWxjaR&#10;VsKSHefvq/bSXhaGGWbelvvZGjbhEHpHErKVAIbUON1TK+Hr8/iyBRaiIq2MI5TwwAD7avFUqkK7&#10;O33gVMeWpRIKhZLQxegLzkPToVVh5TxS8q5usComObRcD+qeyq3huRAbblVPaaFTHg8dNrd6tBLq&#10;WXjPzdvNjtk596fpkb9faymfl5nYAYs4x78w/OAndKgS08WNpAMzEtIj8fcmb/u6zoFdJKw3wKuS&#10;/2evvgFQSwMEFAAAAAgAh07iQFNFbSf4AQAA8AMAAA4AAABkcnMvZTJvRG9jLnhtbK1TS44TMRDd&#10;I3EHy3vS6RaTiVrpzGJC2CCIxAz7ij9pC/9kO+nkLFyDFRuOM9eg7M4EGDZZsLHKVeVX9V6VF3dH&#10;o8lBhKic7Wg9mVIiLHNc2V1HHx/Wb+aUxASWg3ZWdPQkIr1bvn61GHwrGtc7zUUgCGJjO/iO9in5&#10;tqoi64WBOHFeWAxKFwwkvIZdxQMMiG501Uyns2pwgfvgmIgRvasxSM+I4RpAJ6ViYuXY3gibRtQg&#10;NCSkFHvlI12WbqUULH2SMopEdEeRaSonFkF7m89quYB2F8D3ip1bgGtaeMHJgLJY9AK1ggRkH9Q/&#10;UEax4KKTacKcqUYiRRFkUU9faPO5By8KF5Q6+ovo8f/Bso+HTSCK4yZQYsHgwJ++fX/68ZM0WZvB&#10;xxZT7u0mnG/Rb0ImepTBEKmV/5KfZg+SIcei7OmirDgmwtB587a+nTcoOsNY08xnRflqhMmPfYjp&#10;vXCGZKOjWtlMHFo4fIgJS2Pqc0p2a0sGRL2tbzIm4BpKHD+axiOV1Cv7gAP9WiCi04qvldb5YQy7&#10;7b0O5AC4EOv1bDZ97uSvtFxrBbEf80poXJVeAH9nOUknj1JZ/CE0d2IEp0QL/FDZKkuVQOlrMpGZ&#10;tkgwSz2Km62t4ycczN4HtetRkDqDlhxchCLHeWnzpv15L1m/P+ry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HKksvTAAAAAwEAAA8AAAAAAAAAAQAgAAAAIgAAAGRycy9kb3ducmV2LnhtbFBLAQIU&#10;ABQAAAAIAIdO4kBTRW0n+AEAAPADAAAOAAAAAAAAAAEAIAAAACIBAABkcnMvZTJvRG9jLnhtbFBL&#10;BQYAAAAABgAGAFkBAACMBQAAAAA=&#10;">
                <v:fill on="f" focussize="0,0"/>
                <v:stroke weight="4.5pt" color="#FF66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吉林电力股份有限公司</w:t>
      </w:r>
    </w:p>
    <w:p>
      <w:pPr>
        <w:spacing w:line="24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</w:t>
      </w:r>
      <w:r>
        <w:rPr>
          <w:rFonts w:hint="eastAsia"/>
          <w:b/>
          <w:sz w:val="44"/>
          <w:szCs w:val="44"/>
          <w:lang w:val="en-US" w:eastAsia="zh-CN"/>
        </w:rPr>
        <w:t>九</w:t>
      </w:r>
      <w:r>
        <w:rPr>
          <w:b/>
          <w:sz w:val="44"/>
          <w:szCs w:val="44"/>
        </w:rPr>
        <w:t>届董事会第</w:t>
      </w:r>
      <w:r>
        <w:rPr>
          <w:rFonts w:hint="eastAsia"/>
          <w:b/>
          <w:sz w:val="44"/>
          <w:szCs w:val="44"/>
          <w:lang w:val="en-US" w:eastAsia="zh-CN"/>
        </w:rPr>
        <w:t>十一</w:t>
      </w:r>
      <w:r>
        <w:rPr>
          <w:b/>
          <w:sz w:val="44"/>
          <w:szCs w:val="44"/>
        </w:rPr>
        <w:t>次会议决议公告</w:t>
      </w:r>
    </w:p>
    <w:p>
      <w:pPr>
        <w:spacing w:line="240" w:lineRule="auto"/>
        <w:jc w:val="center"/>
        <w:rPr>
          <w:rFonts w:eastAsia="仿宋_GB2312"/>
          <w:sz w:val="32"/>
          <w:szCs w:val="32"/>
        </w:rPr>
      </w:pPr>
    </w:p>
    <w:p>
      <w:pPr>
        <w:spacing w:line="240" w:lineRule="auto"/>
        <w:ind w:firstLine="562" w:firstLineChars="200"/>
        <w:rPr>
          <w:rFonts w:eastAsia="仿宋"/>
          <w:b/>
          <w:sz w:val="28"/>
          <w:szCs w:val="28"/>
        </w:rPr>
      </w:pPr>
      <w:r>
        <w:rPr>
          <w:rFonts w:hAnsi="仿宋" w:eastAsia="仿宋"/>
          <w:b/>
          <w:sz w:val="28"/>
          <w:szCs w:val="28"/>
        </w:rPr>
        <w:t>本公司及董事会全体成员保证</w:t>
      </w:r>
      <w:r>
        <w:rPr>
          <w:rFonts w:hint="eastAsia" w:hAnsi="仿宋" w:eastAsia="仿宋"/>
          <w:b/>
          <w:sz w:val="28"/>
          <w:szCs w:val="28"/>
        </w:rPr>
        <w:t>信息披露</w:t>
      </w:r>
      <w:r>
        <w:rPr>
          <w:rFonts w:hAnsi="仿宋" w:eastAsia="仿宋"/>
          <w:b/>
          <w:sz w:val="28"/>
          <w:szCs w:val="28"/>
        </w:rPr>
        <w:t>内容的真实、准确</w:t>
      </w:r>
      <w:r>
        <w:rPr>
          <w:rFonts w:hint="eastAsia" w:hAnsi="仿宋" w:eastAsia="仿宋"/>
          <w:b/>
          <w:sz w:val="28"/>
          <w:szCs w:val="28"/>
        </w:rPr>
        <w:t>和</w:t>
      </w:r>
      <w:r>
        <w:rPr>
          <w:rFonts w:hAnsi="仿宋" w:eastAsia="仿宋"/>
          <w:b/>
          <w:sz w:val="28"/>
          <w:szCs w:val="28"/>
        </w:rPr>
        <w:t>完整，没有虚假记载、误导性陈述或重大遗漏。</w:t>
      </w:r>
    </w:p>
    <w:p>
      <w:pPr>
        <w:spacing w:line="240" w:lineRule="auto"/>
        <w:ind w:firstLine="562" w:firstLineChars="200"/>
        <w:rPr>
          <w:rFonts w:eastAsia="仿宋"/>
          <w:b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51" w:firstLineChars="196"/>
        <w:jc w:val="left"/>
        <w:rPr>
          <w:rFonts w:eastAsia="仿宋"/>
          <w:b/>
          <w:sz w:val="28"/>
          <w:szCs w:val="28"/>
        </w:rPr>
      </w:pPr>
      <w:r>
        <w:rPr>
          <w:rFonts w:hAnsi="仿宋" w:eastAsia="仿宋"/>
          <w:b/>
          <w:sz w:val="28"/>
          <w:szCs w:val="28"/>
        </w:rPr>
        <w:t>一、董事会会议召开情况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8" w:firstLineChars="196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hint="eastAsia" w:hAnsi="仿宋" w:eastAsia="仿宋"/>
          <w:sz w:val="28"/>
          <w:szCs w:val="28"/>
        </w:rPr>
        <w:t>.吉</w:t>
      </w:r>
      <w:r>
        <w:rPr>
          <w:rFonts w:hAnsi="仿宋" w:eastAsia="仿宋"/>
          <w:sz w:val="28"/>
          <w:szCs w:val="28"/>
        </w:rPr>
        <w:t>林电力股份有限公司第</w:t>
      </w:r>
      <w:r>
        <w:rPr>
          <w:rFonts w:hint="eastAsia" w:hAnsi="仿宋" w:eastAsia="仿宋"/>
          <w:sz w:val="28"/>
          <w:szCs w:val="28"/>
          <w:lang w:val="en-US" w:eastAsia="zh-CN"/>
        </w:rPr>
        <w:t>九</w:t>
      </w:r>
      <w:r>
        <w:rPr>
          <w:rFonts w:hAnsi="仿宋" w:eastAsia="仿宋"/>
          <w:sz w:val="28"/>
          <w:szCs w:val="28"/>
        </w:rPr>
        <w:t>届董事会第</w:t>
      </w:r>
      <w:r>
        <w:rPr>
          <w:rFonts w:hint="eastAsia" w:hAnsi="仿宋" w:eastAsia="仿宋"/>
          <w:sz w:val="28"/>
          <w:szCs w:val="28"/>
          <w:lang w:val="en-US" w:eastAsia="zh-CN"/>
        </w:rPr>
        <w:t>十一</w:t>
      </w:r>
      <w:r>
        <w:rPr>
          <w:rFonts w:hAnsi="仿宋" w:eastAsia="仿宋"/>
          <w:sz w:val="28"/>
          <w:szCs w:val="28"/>
        </w:rPr>
        <w:t>次会议通知于</w:t>
      </w:r>
      <w:r>
        <w:rPr>
          <w:rFonts w:eastAsia="仿宋"/>
          <w:sz w:val="28"/>
          <w:szCs w:val="28"/>
        </w:rPr>
        <w:t>20</w:t>
      </w:r>
      <w:r>
        <w:rPr>
          <w:rFonts w:hint="eastAsia" w:eastAsia="仿宋"/>
          <w:sz w:val="28"/>
          <w:szCs w:val="28"/>
        </w:rPr>
        <w:t>2</w:t>
      </w:r>
      <w:r>
        <w:rPr>
          <w:rFonts w:hint="eastAsia" w:eastAsia="仿宋"/>
          <w:sz w:val="28"/>
          <w:szCs w:val="28"/>
          <w:lang w:val="en-US" w:eastAsia="zh-CN"/>
        </w:rPr>
        <w:t>3</w:t>
      </w:r>
      <w:r>
        <w:rPr>
          <w:rFonts w:hAnsi="仿宋" w:eastAsia="仿宋"/>
          <w:sz w:val="28"/>
          <w:szCs w:val="28"/>
        </w:rPr>
        <w:t>年</w:t>
      </w:r>
      <w:r>
        <w:rPr>
          <w:rFonts w:hint="eastAsia" w:hAnsi="仿宋" w:eastAsia="仿宋"/>
          <w:sz w:val="28"/>
          <w:szCs w:val="28"/>
          <w:lang w:val="en-US" w:eastAsia="zh-CN"/>
        </w:rPr>
        <w:t>10</w:t>
      </w:r>
      <w:r>
        <w:rPr>
          <w:rFonts w:hAnsi="仿宋" w:eastAsia="仿宋"/>
          <w:sz w:val="28"/>
          <w:szCs w:val="28"/>
        </w:rPr>
        <w:t>月</w:t>
      </w:r>
      <w:r>
        <w:rPr>
          <w:rFonts w:hint="eastAsia" w:hAnsi="仿宋" w:eastAsia="仿宋"/>
          <w:sz w:val="28"/>
          <w:szCs w:val="28"/>
          <w:lang w:val="en-US" w:eastAsia="zh-CN"/>
        </w:rPr>
        <w:t>20</w:t>
      </w:r>
      <w:r>
        <w:rPr>
          <w:rFonts w:hAnsi="仿宋" w:eastAsia="仿宋"/>
          <w:sz w:val="28"/>
          <w:szCs w:val="28"/>
        </w:rPr>
        <w:t>日以</w:t>
      </w:r>
      <w:r>
        <w:rPr>
          <w:rFonts w:hint="eastAsia" w:hAnsi="仿宋" w:eastAsia="仿宋"/>
          <w:sz w:val="28"/>
          <w:szCs w:val="28"/>
          <w:lang w:val="en-US" w:eastAsia="zh-CN"/>
        </w:rPr>
        <w:t>电子邮件等</w:t>
      </w:r>
      <w:r>
        <w:rPr>
          <w:rFonts w:hAnsi="仿宋" w:eastAsia="仿宋"/>
          <w:sz w:val="28"/>
          <w:szCs w:val="28"/>
        </w:rPr>
        <w:t>方式发出。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548" w:firstLineChars="196"/>
        <w:jc w:val="left"/>
        <w:rPr>
          <w:rFonts w:hint="eastAsia" w:hAnsi="仿宋" w:eastAsia="仿宋"/>
          <w:sz w:val="28"/>
          <w:szCs w:val="28"/>
        </w:rPr>
      </w:pPr>
      <w:r>
        <w:rPr>
          <w:rFonts w:eastAsia="仿宋"/>
          <w:sz w:val="28"/>
          <w:szCs w:val="28"/>
        </w:rPr>
        <w:t>2</w:t>
      </w:r>
      <w:r>
        <w:rPr>
          <w:rFonts w:hint="eastAsia" w:hAnsi="仿宋" w:eastAsia="仿宋"/>
          <w:sz w:val="28"/>
          <w:szCs w:val="28"/>
        </w:rPr>
        <w:t xml:space="preserve">. </w:t>
      </w:r>
      <w:r>
        <w:rPr>
          <w:rFonts w:eastAsia="仿宋"/>
          <w:sz w:val="28"/>
          <w:szCs w:val="28"/>
        </w:rPr>
        <w:t>20</w:t>
      </w:r>
      <w:r>
        <w:rPr>
          <w:rFonts w:hint="eastAsia" w:eastAsia="仿宋"/>
          <w:sz w:val="28"/>
          <w:szCs w:val="28"/>
        </w:rPr>
        <w:t>2</w:t>
      </w:r>
      <w:r>
        <w:rPr>
          <w:rFonts w:hint="eastAsia" w:eastAsia="仿宋"/>
          <w:sz w:val="28"/>
          <w:szCs w:val="28"/>
          <w:lang w:val="en-US" w:eastAsia="zh-CN"/>
        </w:rPr>
        <w:t>3</w:t>
      </w:r>
      <w:r>
        <w:rPr>
          <w:rFonts w:hAnsi="仿宋" w:eastAsia="仿宋"/>
          <w:sz w:val="28"/>
          <w:szCs w:val="28"/>
        </w:rPr>
        <w:t>年</w:t>
      </w:r>
      <w:r>
        <w:rPr>
          <w:rFonts w:hint="eastAsia" w:hAnsi="仿宋" w:eastAsia="仿宋"/>
          <w:sz w:val="28"/>
          <w:szCs w:val="28"/>
          <w:lang w:val="en-US" w:eastAsia="zh-CN"/>
        </w:rPr>
        <w:t>10</w:t>
      </w:r>
      <w:r>
        <w:rPr>
          <w:rFonts w:hAnsi="仿宋" w:eastAsia="仿宋"/>
          <w:sz w:val="28"/>
          <w:szCs w:val="28"/>
        </w:rPr>
        <w:t>月</w:t>
      </w:r>
      <w:r>
        <w:rPr>
          <w:rFonts w:hint="eastAsia" w:hAnsi="仿宋" w:eastAsia="仿宋"/>
          <w:sz w:val="28"/>
          <w:szCs w:val="28"/>
          <w:lang w:val="en-US" w:eastAsia="zh-CN"/>
        </w:rPr>
        <w:t>30</w:t>
      </w:r>
      <w:r>
        <w:rPr>
          <w:rFonts w:hAnsi="仿宋" w:eastAsia="仿宋"/>
          <w:sz w:val="28"/>
          <w:szCs w:val="28"/>
        </w:rPr>
        <w:t>日</w:t>
      </w:r>
      <w:r>
        <w:rPr>
          <w:rFonts w:hint="eastAsia" w:hAnsi="仿宋" w:eastAsia="仿宋"/>
          <w:sz w:val="28"/>
          <w:szCs w:val="28"/>
          <w:lang w:eastAsia="zh-CN"/>
        </w:rPr>
        <w:t>，</w:t>
      </w:r>
      <w:r>
        <w:rPr>
          <w:rFonts w:hint="eastAsia" w:hAnsi="仿宋" w:eastAsia="仿宋"/>
          <w:sz w:val="28"/>
          <w:szCs w:val="28"/>
        </w:rPr>
        <w:t>公司</w:t>
      </w:r>
      <w:r>
        <w:rPr>
          <w:rFonts w:hAnsi="仿宋" w:eastAsia="仿宋"/>
          <w:sz w:val="28"/>
          <w:szCs w:val="28"/>
        </w:rPr>
        <w:t>第</w:t>
      </w:r>
      <w:r>
        <w:rPr>
          <w:rFonts w:hint="eastAsia" w:hAnsi="仿宋" w:eastAsia="仿宋"/>
          <w:sz w:val="28"/>
          <w:szCs w:val="28"/>
          <w:lang w:val="en-US" w:eastAsia="zh-CN"/>
        </w:rPr>
        <w:t>九</w:t>
      </w:r>
      <w:r>
        <w:rPr>
          <w:rFonts w:hAnsi="仿宋" w:eastAsia="仿宋"/>
          <w:sz w:val="28"/>
          <w:szCs w:val="28"/>
        </w:rPr>
        <w:t>届董事会第</w:t>
      </w:r>
      <w:r>
        <w:rPr>
          <w:rFonts w:hint="eastAsia" w:hAnsi="仿宋" w:eastAsia="仿宋"/>
          <w:sz w:val="28"/>
          <w:szCs w:val="28"/>
          <w:lang w:val="en-US" w:eastAsia="zh-CN"/>
        </w:rPr>
        <w:t>十一</w:t>
      </w:r>
      <w:r>
        <w:rPr>
          <w:rFonts w:hAnsi="仿宋" w:eastAsia="仿宋"/>
          <w:sz w:val="28"/>
          <w:szCs w:val="28"/>
        </w:rPr>
        <w:t>次会议</w:t>
      </w:r>
      <w:r>
        <w:rPr>
          <w:rFonts w:hint="eastAsia" w:hAnsi="仿宋" w:eastAsia="仿宋"/>
          <w:sz w:val="28"/>
          <w:szCs w:val="28"/>
        </w:rPr>
        <w:t>在公司会议室以现场会议方式召开。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548" w:firstLineChars="196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3.公司应参会董事9人，实参会董事8人，董事</w:t>
      </w:r>
      <w:r>
        <w:rPr>
          <w:rFonts w:hint="eastAsia" w:eastAsia="仿宋"/>
          <w:sz w:val="28"/>
          <w:szCs w:val="28"/>
          <w:lang w:val="en-US" w:eastAsia="zh-CN"/>
        </w:rPr>
        <w:t>才延福</w:t>
      </w:r>
      <w:r>
        <w:rPr>
          <w:rFonts w:eastAsia="仿宋"/>
          <w:sz w:val="28"/>
          <w:szCs w:val="28"/>
        </w:rPr>
        <w:t>先生因公无法出席，全权委托董事</w:t>
      </w:r>
      <w:r>
        <w:rPr>
          <w:rFonts w:hint="eastAsia" w:eastAsia="仿宋"/>
          <w:sz w:val="28"/>
          <w:szCs w:val="28"/>
          <w:lang w:val="en-US" w:eastAsia="zh-CN"/>
        </w:rPr>
        <w:t>牛国君</w:t>
      </w:r>
      <w:r>
        <w:rPr>
          <w:rFonts w:eastAsia="仿宋"/>
          <w:sz w:val="28"/>
          <w:szCs w:val="28"/>
        </w:rPr>
        <w:t>先生代为表决。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548" w:firstLineChars="196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  <w:t>4.</w:t>
      </w:r>
      <w:r>
        <w:rPr>
          <w:rFonts w:hint="eastAsia" w:eastAsia="仿宋"/>
          <w:color w:val="000000"/>
          <w:kern w:val="0"/>
          <w:sz w:val="28"/>
          <w:szCs w:val="28"/>
        </w:rPr>
        <w:t>公司董事长才延福先生因公无法出席本次会议，经半数以上董事推举，由董事牛国君先生主持本次会议。</w:t>
      </w:r>
      <w:r>
        <w:rPr>
          <w:rFonts w:eastAsia="仿宋"/>
          <w:sz w:val="28"/>
          <w:szCs w:val="28"/>
        </w:rPr>
        <w:t>公司监事会成员和高级管理人员列席了会议。</w:t>
      </w:r>
    </w:p>
    <w:p>
      <w:pPr>
        <w:spacing w:line="24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hAnsi="仿宋" w:eastAsia="仿宋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hAnsi="仿宋" w:eastAsia="仿宋"/>
          <w:color w:val="000000"/>
          <w:kern w:val="0"/>
          <w:sz w:val="28"/>
          <w:szCs w:val="28"/>
        </w:rPr>
        <w:t>.</w:t>
      </w:r>
      <w:r>
        <w:rPr>
          <w:rFonts w:hint="eastAsia" w:eastAsia="仿宋"/>
          <w:sz w:val="28"/>
          <w:szCs w:val="28"/>
        </w:rPr>
        <w:t>参与表决的董事占公司全体董事人数的二分之一以上，符合《公司法》及本公司章程的规定。</w:t>
      </w:r>
    </w:p>
    <w:p>
      <w:pPr>
        <w:spacing w:line="240" w:lineRule="auto"/>
        <w:ind w:firstLine="467" w:firstLineChars="166"/>
        <w:rPr>
          <w:rFonts w:eastAsia="仿宋"/>
          <w:b/>
          <w:sz w:val="28"/>
          <w:szCs w:val="28"/>
        </w:rPr>
      </w:pPr>
      <w:r>
        <w:rPr>
          <w:rFonts w:hAnsi="仿宋" w:eastAsia="仿宋"/>
          <w:b/>
          <w:sz w:val="28"/>
          <w:szCs w:val="28"/>
        </w:rPr>
        <w:t>二、董事会会议审议情况</w:t>
      </w:r>
    </w:p>
    <w:p>
      <w:pPr>
        <w:ind w:firstLine="562" w:firstLineChars="200"/>
        <w:rPr>
          <w:rFonts w:hint="eastAsia" w:hAnsi="仿宋" w:eastAsia="仿宋"/>
          <w:b/>
          <w:color w:val="000000"/>
          <w:sz w:val="28"/>
          <w:szCs w:val="28"/>
        </w:rPr>
      </w:pPr>
      <w:r>
        <w:rPr>
          <w:rFonts w:hint="eastAsia" w:hAnsi="仿宋" w:eastAsia="仿宋"/>
          <w:b/>
          <w:color w:val="000000"/>
          <w:sz w:val="28"/>
          <w:szCs w:val="28"/>
        </w:rPr>
        <w:t>（一）</w:t>
      </w:r>
      <w:r>
        <w:rPr>
          <w:rFonts w:hint="eastAsia" w:hAnsi="仿宋" w:eastAsia="仿宋"/>
          <w:b/>
          <w:color w:val="000000"/>
          <w:sz w:val="28"/>
          <w:szCs w:val="28"/>
          <w:lang w:val="en-US" w:eastAsia="zh-CN"/>
        </w:rPr>
        <w:t>审议《</w:t>
      </w:r>
      <w:r>
        <w:rPr>
          <w:rFonts w:hint="eastAsia" w:hAnsi="仿宋" w:eastAsia="仿宋"/>
          <w:b/>
          <w:color w:val="000000"/>
          <w:sz w:val="28"/>
          <w:szCs w:val="28"/>
        </w:rPr>
        <w:t>公司202</w:t>
      </w:r>
      <w:r>
        <w:rPr>
          <w:rFonts w:hint="eastAsia" w:hAnsi="仿宋" w:eastAsia="仿宋"/>
          <w:b/>
          <w:color w:val="000000"/>
          <w:sz w:val="28"/>
          <w:szCs w:val="28"/>
          <w:lang w:val="en-US" w:eastAsia="zh-CN"/>
        </w:rPr>
        <w:t>3</w:t>
      </w:r>
      <w:r>
        <w:rPr>
          <w:rFonts w:hint="eastAsia" w:hAnsi="仿宋" w:eastAsia="仿宋"/>
          <w:b/>
          <w:color w:val="000000"/>
          <w:sz w:val="28"/>
          <w:szCs w:val="28"/>
        </w:rPr>
        <w:t>年第三季度</w:t>
      </w:r>
      <w:r>
        <w:rPr>
          <w:rFonts w:hint="eastAsia" w:hAnsi="仿宋" w:eastAsia="仿宋"/>
          <w:b/>
          <w:color w:val="000000"/>
          <w:sz w:val="28"/>
          <w:szCs w:val="28"/>
          <w:lang w:val="en-US" w:eastAsia="zh-CN"/>
        </w:rPr>
        <w:t>报告》</w:t>
      </w:r>
    </w:p>
    <w:p>
      <w:pPr>
        <w:ind w:firstLine="560" w:firstLineChars="200"/>
        <w:rPr>
          <w:rFonts w:hint="eastAsia" w:hAnsi="仿宋" w:eastAsia="仿宋"/>
          <w:color w:val="000000"/>
          <w:sz w:val="28"/>
          <w:szCs w:val="28"/>
        </w:rPr>
      </w:pPr>
      <w:r>
        <w:rPr>
          <w:rFonts w:hAnsi="仿宋" w:eastAsia="仿宋"/>
          <w:color w:val="000000"/>
          <w:sz w:val="28"/>
          <w:szCs w:val="28"/>
        </w:rPr>
        <w:t>会议以</w:t>
      </w:r>
      <w:r>
        <w:rPr>
          <w:rFonts w:hint="eastAsia" w:hAnsi="仿宋" w:eastAsia="仿宋"/>
          <w:color w:val="000000"/>
          <w:sz w:val="28"/>
          <w:szCs w:val="28"/>
          <w:lang w:val="en-US" w:eastAsia="zh-CN"/>
        </w:rPr>
        <w:t>9</w:t>
      </w:r>
      <w:r>
        <w:rPr>
          <w:rFonts w:hint="eastAsia" w:hAnsi="仿宋" w:eastAsia="仿宋"/>
          <w:color w:val="000000"/>
          <w:sz w:val="28"/>
          <w:szCs w:val="28"/>
        </w:rPr>
        <w:t>票赞同</w:t>
      </w:r>
      <w:r>
        <w:rPr>
          <w:rFonts w:hAnsi="仿宋" w:eastAsia="仿宋"/>
          <w:color w:val="000000"/>
          <w:sz w:val="28"/>
          <w:szCs w:val="28"/>
        </w:rPr>
        <w:t>、0票反对、0票弃权，通过了</w:t>
      </w:r>
      <w:r>
        <w:rPr>
          <w:rFonts w:hint="eastAsia" w:hAnsi="仿宋" w:eastAsia="仿宋"/>
          <w:color w:val="000000"/>
          <w:sz w:val="28"/>
          <w:szCs w:val="28"/>
        </w:rPr>
        <w:t>《公司202</w:t>
      </w:r>
      <w:r>
        <w:rPr>
          <w:rFonts w:hint="eastAsia" w:hAnsi="仿宋" w:eastAsia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hAnsi="仿宋" w:eastAsia="仿宋"/>
          <w:color w:val="000000"/>
          <w:sz w:val="28"/>
          <w:szCs w:val="28"/>
        </w:rPr>
        <w:t>年第三季度</w:t>
      </w:r>
      <w:r>
        <w:rPr>
          <w:rFonts w:hint="eastAsia" w:hAnsi="仿宋" w:eastAsia="仿宋"/>
          <w:color w:val="000000"/>
          <w:sz w:val="28"/>
          <w:szCs w:val="28"/>
          <w:lang w:val="en-US" w:eastAsia="zh-CN"/>
        </w:rPr>
        <w:t>报告</w:t>
      </w:r>
      <w:r>
        <w:rPr>
          <w:rFonts w:hint="eastAsia" w:hAnsi="仿宋" w:eastAsia="仿宋"/>
          <w:color w:val="000000"/>
          <w:sz w:val="28"/>
          <w:szCs w:val="28"/>
        </w:rPr>
        <w:t>》。</w:t>
      </w:r>
      <w:r>
        <w:rPr>
          <w:rFonts w:hAnsi="仿宋" w:eastAsia="仿宋"/>
          <w:sz w:val="28"/>
          <w:szCs w:val="28"/>
        </w:rPr>
        <w:t>公司董事和高管人员出具了书面确认意见。</w:t>
      </w:r>
    </w:p>
    <w:p>
      <w:pPr>
        <w:ind w:firstLine="560" w:firstLineChars="200"/>
        <w:rPr>
          <w:rFonts w:hint="eastAsia" w:hAnsi="仿宋" w:eastAsia="仿宋"/>
          <w:color w:val="000000"/>
          <w:sz w:val="28"/>
          <w:szCs w:val="28"/>
        </w:rPr>
      </w:pPr>
      <w:r>
        <w:rPr>
          <w:rFonts w:hAnsi="仿宋" w:eastAsia="仿宋"/>
          <w:color w:val="000000"/>
          <w:sz w:val="28"/>
          <w:szCs w:val="28"/>
        </w:rPr>
        <w:t>具体内容详见同日刊载于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《中国证券报》《上海证券报》《证券时报》和</w:t>
      </w:r>
      <w:r>
        <w:rPr>
          <w:rFonts w:hAnsi="仿宋" w:eastAsia="仿宋"/>
          <w:color w:val="000000"/>
          <w:sz w:val="28"/>
          <w:szCs w:val="28"/>
        </w:rPr>
        <w:t>巨潮资讯网站上的《</w:t>
      </w:r>
      <w:r>
        <w:rPr>
          <w:rFonts w:hint="eastAsia" w:hAnsi="仿宋" w:eastAsia="仿宋"/>
          <w:color w:val="000000"/>
          <w:sz w:val="28"/>
          <w:szCs w:val="28"/>
        </w:rPr>
        <w:t>吉林电力股份有限</w:t>
      </w:r>
      <w:r>
        <w:rPr>
          <w:rFonts w:hint="eastAsia" w:hAnsi="仿宋" w:eastAsia="仿宋"/>
          <w:sz w:val="28"/>
          <w:szCs w:val="28"/>
        </w:rPr>
        <w:t>公司202</w:t>
      </w:r>
      <w:r>
        <w:rPr>
          <w:rFonts w:hint="eastAsia" w:hAnsi="仿宋" w:eastAsia="仿宋"/>
          <w:sz w:val="28"/>
          <w:szCs w:val="28"/>
          <w:lang w:val="en-US" w:eastAsia="zh-CN"/>
        </w:rPr>
        <w:t>3</w:t>
      </w:r>
      <w:r>
        <w:rPr>
          <w:rFonts w:hint="eastAsia" w:hAnsi="仿宋" w:eastAsia="仿宋"/>
          <w:sz w:val="28"/>
          <w:szCs w:val="28"/>
        </w:rPr>
        <w:t>年度第三季度报告</w:t>
      </w:r>
      <w:r>
        <w:rPr>
          <w:rFonts w:hAnsi="仿宋" w:eastAsia="仿宋"/>
          <w:color w:val="000000"/>
          <w:sz w:val="28"/>
          <w:szCs w:val="28"/>
        </w:rPr>
        <w:t>》（</w:t>
      </w:r>
      <w:r>
        <w:rPr>
          <w:rFonts w:eastAsia="仿宋"/>
          <w:color w:val="000000"/>
          <w:sz w:val="28"/>
          <w:szCs w:val="28"/>
        </w:rPr>
        <w:t>20</w:t>
      </w:r>
      <w:r>
        <w:rPr>
          <w:rFonts w:hint="eastAsia" w:eastAsia="仿宋"/>
          <w:color w:val="000000"/>
          <w:sz w:val="28"/>
          <w:szCs w:val="28"/>
        </w:rPr>
        <w:t>2</w:t>
      </w:r>
      <w:r>
        <w:rPr>
          <w:rFonts w:hint="eastAsia" w:eastAsia="仿宋"/>
          <w:color w:val="000000"/>
          <w:sz w:val="28"/>
          <w:szCs w:val="28"/>
          <w:lang w:val="en-US" w:eastAsia="zh-CN"/>
        </w:rPr>
        <w:t>3</w:t>
      </w:r>
      <w:r>
        <w:rPr>
          <w:rFonts w:eastAsia="仿宋"/>
          <w:color w:val="000000"/>
          <w:sz w:val="28"/>
          <w:szCs w:val="28"/>
        </w:rPr>
        <w:t>-</w:t>
      </w:r>
      <w:r>
        <w:rPr>
          <w:rFonts w:hint="eastAsia" w:eastAsia="仿宋"/>
          <w:color w:val="000000"/>
          <w:sz w:val="28"/>
          <w:szCs w:val="28"/>
          <w:lang w:val="en-US" w:eastAsia="zh-CN"/>
        </w:rPr>
        <w:t>075</w:t>
      </w:r>
      <w:r>
        <w:rPr>
          <w:rFonts w:hAnsi="仿宋" w:eastAsia="仿宋"/>
          <w:color w:val="000000"/>
          <w:sz w:val="28"/>
          <w:szCs w:val="28"/>
        </w:rPr>
        <w:t>）。</w:t>
      </w:r>
    </w:p>
    <w:p>
      <w:pPr>
        <w:numPr>
          <w:ilvl w:val="0"/>
          <w:numId w:val="1"/>
        </w:numPr>
        <w:ind w:firstLine="551" w:firstLineChars="196"/>
        <w:rPr>
          <w:rFonts w:hint="eastAsia" w:ascii="Times New Roman" w:hAnsi="Times New Roman" w:eastAsia="仿宋"/>
          <w:b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  <w:highlight w:val="none"/>
        </w:rPr>
        <w:t>审议</w:t>
      </w:r>
      <w:r>
        <w:rPr>
          <w:rFonts w:hint="eastAsia" w:ascii="Times New Roman" w:hAnsi="Times New Roman" w:eastAsia="仿宋" w:cs="Times New Roman"/>
          <w:b/>
          <w:sz w:val="28"/>
          <w:szCs w:val="28"/>
          <w:highlight w:val="none"/>
          <w:lang w:eastAsia="zh-CN"/>
        </w:rPr>
        <w:t>《</w:t>
      </w:r>
      <w:r>
        <w:rPr>
          <w:rFonts w:hint="eastAsia" w:ascii="Times New Roman" w:hAnsi="Times New Roman" w:eastAsia="仿宋"/>
          <w:b/>
          <w:color w:val="000000"/>
          <w:sz w:val="28"/>
          <w:szCs w:val="28"/>
        </w:rPr>
        <w:t>关于公司拟将白山吉电能源公司100%股权、通化分公司全部资产及负债转让至吉林能投的议案</w:t>
      </w:r>
      <w:r>
        <w:rPr>
          <w:rFonts w:hint="eastAsia" w:ascii="Times New Roman" w:hAnsi="Times New Roman" w:eastAsia="仿宋"/>
          <w:b/>
          <w:color w:val="000000"/>
          <w:sz w:val="28"/>
          <w:szCs w:val="28"/>
          <w:lang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Ansi="仿宋" w:eastAsia="仿宋"/>
          <w:color w:val="000000"/>
          <w:kern w:val="0"/>
          <w:sz w:val="28"/>
          <w:szCs w:val="28"/>
          <w:highlight w:val="none"/>
        </w:rPr>
        <w:t>关联董事</w:t>
      </w:r>
      <w:r>
        <w:rPr>
          <w:rFonts w:hint="eastAsia" w:hAnsi="仿宋" w:eastAsia="仿宋"/>
          <w:sz w:val="28"/>
          <w:szCs w:val="28"/>
          <w:highlight w:val="none"/>
        </w:rPr>
        <w:t>才延福先生、牛国君先生、</w:t>
      </w:r>
      <w:r>
        <w:rPr>
          <w:rFonts w:hint="eastAsia" w:eastAsia="仿宋"/>
          <w:kern w:val="0"/>
          <w:sz w:val="28"/>
          <w:szCs w:val="28"/>
          <w:highlight w:val="none"/>
          <w:lang w:val="en-US" w:eastAsia="zh-CN"/>
        </w:rPr>
        <w:t>李铁证</w:t>
      </w:r>
      <w:r>
        <w:rPr>
          <w:rFonts w:hint="eastAsia" w:eastAsia="仿宋"/>
          <w:kern w:val="0"/>
          <w:sz w:val="28"/>
          <w:szCs w:val="28"/>
          <w:highlight w:val="none"/>
        </w:rPr>
        <w:t>先生和廖剑波先生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</w:rPr>
        <w:t>在表决该议案时，进行了回避，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</w:rPr>
        <w:t>名非关联董事一致同意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</w:rPr>
        <w:t>通过了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《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highlight w:val="none"/>
        </w:rPr>
        <w:t>关于公司拟将白山吉电能源公司100%股权、通化分公司全部资产及负债转让至吉林能投的议案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lang w:eastAsia="zh-CN"/>
        </w:rPr>
        <w:t>》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。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同意将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公司全资子公司</w:t>
      </w:r>
      <w:r>
        <w:rPr>
          <w:rFonts w:hint="eastAsia" w:ascii="仿宋" w:hAnsi="仿宋" w:eastAsia="仿宋" w:cs="仿宋"/>
          <w:sz w:val="28"/>
          <w:szCs w:val="28"/>
        </w:rPr>
        <w:t>白山吉电能源开发有限公司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100%股权、</w:t>
      </w:r>
      <w:r>
        <w:rPr>
          <w:rFonts w:hint="eastAsia" w:ascii="仿宋" w:hAnsi="仿宋" w:eastAsia="仿宋" w:cs="仿宋"/>
          <w:sz w:val="28"/>
          <w:szCs w:val="28"/>
        </w:rPr>
        <w:t>吉林电力股份有限公司通化分公司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全部资产及负债转让至国家电投集团吉林能源投资有限公司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以下简称“吉林能投”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eastAsia="仿宋" w:cs="仿宋"/>
          <w:color w:val="000000"/>
          <w:sz w:val="28"/>
          <w:szCs w:val="28"/>
          <w:highlight w:val="none"/>
          <w:lang w:val="en-US" w:eastAsia="zh-CN"/>
        </w:rPr>
        <w:t>转让</w:t>
      </w:r>
      <w:r>
        <w:rPr>
          <w:rFonts w:hint="eastAsia" w:eastAsia="仿宋" w:cs="仿宋"/>
          <w:sz w:val="28"/>
          <w:szCs w:val="28"/>
          <w:highlight w:val="none"/>
          <w:lang w:val="en-US" w:eastAsia="zh-CN"/>
        </w:rPr>
        <w:t>价格</w:t>
      </w:r>
      <w:r>
        <w:rPr>
          <w:rFonts w:hint="eastAsia" w:eastAsia="仿宋" w:cs="仿宋"/>
          <w:sz w:val="28"/>
          <w:szCs w:val="28"/>
          <w:highlight w:val="none"/>
        </w:rPr>
        <w:t>参照</w:t>
      </w:r>
      <w:r>
        <w:rPr>
          <w:rFonts w:hint="eastAsia" w:hAnsi="仿宋" w:eastAsia="仿宋"/>
          <w:sz w:val="28"/>
          <w:szCs w:val="28"/>
          <w:highlight w:val="none"/>
          <w:lang w:val="en-US" w:eastAsia="zh-CN"/>
        </w:rPr>
        <w:t>上述资产</w:t>
      </w:r>
      <w:r>
        <w:rPr>
          <w:rFonts w:hint="eastAsia" w:eastAsia="仿宋" w:cs="仿宋"/>
          <w:sz w:val="28"/>
          <w:szCs w:val="28"/>
          <w:highlight w:val="none"/>
        </w:rPr>
        <w:t>以</w:t>
      </w:r>
      <w:r>
        <w:rPr>
          <w:rFonts w:eastAsia="仿宋"/>
          <w:sz w:val="28"/>
          <w:szCs w:val="28"/>
          <w:highlight w:val="none"/>
        </w:rPr>
        <w:t>20</w:t>
      </w:r>
      <w:r>
        <w:rPr>
          <w:rFonts w:hint="eastAsia" w:eastAsia="仿宋"/>
          <w:sz w:val="28"/>
          <w:szCs w:val="28"/>
          <w:highlight w:val="none"/>
          <w:lang w:val="en-US" w:eastAsia="zh-CN"/>
        </w:rPr>
        <w:t>23</w:t>
      </w:r>
      <w:r>
        <w:rPr>
          <w:rFonts w:hint="eastAsia" w:eastAsia="仿宋" w:cs="仿宋"/>
          <w:sz w:val="28"/>
          <w:szCs w:val="28"/>
          <w:highlight w:val="none"/>
        </w:rPr>
        <w:t>年</w:t>
      </w:r>
      <w:r>
        <w:rPr>
          <w:rFonts w:eastAsia="仿宋"/>
          <w:sz w:val="28"/>
          <w:szCs w:val="28"/>
          <w:highlight w:val="none"/>
        </w:rPr>
        <w:t>7</w:t>
      </w:r>
      <w:r>
        <w:rPr>
          <w:rFonts w:hint="eastAsia" w:eastAsia="仿宋" w:cs="仿宋"/>
          <w:sz w:val="28"/>
          <w:szCs w:val="28"/>
          <w:highlight w:val="none"/>
        </w:rPr>
        <w:t>月</w:t>
      </w:r>
      <w:r>
        <w:rPr>
          <w:rFonts w:eastAsia="仿宋"/>
          <w:sz w:val="28"/>
          <w:szCs w:val="28"/>
          <w:highlight w:val="none"/>
        </w:rPr>
        <w:t>31</w:t>
      </w:r>
      <w:r>
        <w:rPr>
          <w:rFonts w:hint="eastAsia" w:eastAsia="仿宋" w:cs="仿宋"/>
          <w:sz w:val="28"/>
          <w:szCs w:val="28"/>
          <w:highlight w:val="none"/>
        </w:rPr>
        <w:t>日为基准日的评估</w:t>
      </w:r>
      <w:r>
        <w:rPr>
          <w:rFonts w:hint="eastAsia" w:eastAsia="仿宋" w:cs="仿宋"/>
          <w:sz w:val="28"/>
          <w:szCs w:val="28"/>
          <w:highlight w:val="none"/>
          <w:lang w:val="en-US" w:eastAsia="zh-CN"/>
        </w:rPr>
        <w:t>价值确</w:t>
      </w:r>
      <w:r>
        <w:rPr>
          <w:rFonts w:hint="eastAsia" w:eastAsia="仿宋" w:cs="仿宋"/>
          <w:sz w:val="28"/>
          <w:szCs w:val="28"/>
          <w:highlight w:val="none"/>
        </w:rPr>
        <w:t>定</w:t>
      </w:r>
      <w:r>
        <w:rPr>
          <w:rFonts w:hint="eastAsia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hAnsi="仿宋" w:eastAsia="仿宋" w:cs="仿宋"/>
          <w:sz w:val="28"/>
          <w:szCs w:val="28"/>
          <w:highlight w:val="none"/>
          <w:lang w:val="en-US" w:eastAsia="zh-CN"/>
        </w:rPr>
        <w:t>合计10,196.61万元，吉林能投以现金方式支付</w:t>
      </w:r>
      <w:r>
        <w:rPr>
          <w:rFonts w:hint="eastAsia" w:eastAsia="仿宋"/>
          <w:color w:val="000000"/>
          <w:sz w:val="28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Cs/>
          <w:color w:val="000000"/>
          <w:sz w:val="28"/>
          <w:szCs w:val="28"/>
          <w:highlight w:val="none"/>
          <w:lang w:val="en-US" w:eastAsia="zh-CN"/>
        </w:rPr>
        <w:t>独立董事发表了事前认可及独立意见</w:t>
      </w:r>
      <w:bookmarkStart w:id="1" w:name="_GoBack"/>
      <w:bookmarkEnd w:id="1"/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>具体内容详见同日刊载于《中国证券报》《上海证券报》《证券时报》和巨潮资讯网</w:t>
      </w:r>
      <w:r>
        <w:rPr>
          <w:rFonts w:hint="eastAsia" w:ascii="Times New Roman" w:hAnsi="Times New Roman" w:eastAsia="仿宋" w:cs="Times New Roman"/>
          <w:bCs/>
          <w:sz w:val="28"/>
          <w:szCs w:val="28"/>
          <w:highlight w:val="none"/>
          <w:lang w:val="en-US" w:eastAsia="zh-CN"/>
        </w:rPr>
        <w:t>站</w:t>
      </w: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>上的《关于公司拟将白山吉电能源公司100%股权</w:t>
      </w:r>
      <w:r>
        <w:rPr>
          <w:rFonts w:hint="eastAsia" w:ascii="Times New Roman" w:hAnsi="Times New Roman" w:eastAsia="仿宋" w:cs="Times New Roman"/>
          <w:bCs/>
          <w:sz w:val="28"/>
          <w:szCs w:val="28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>通化分公司全部资产及负债转让至吉林能投暨关联交易</w:t>
      </w: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>公告》（202</w:t>
      </w:r>
      <w:r>
        <w:rPr>
          <w:rFonts w:hint="eastAsia" w:ascii="Times New Roman" w:hAnsi="Times New Roman" w:eastAsia="仿宋" w:cs="Times New Roman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>-</w:t>
      </w:r>
      <w:r>
        <w:rPr>
          <w:rFonts w:hint="eastAsia" w:ascii="Times New Roman" w:hAnsi="Times New Roman" w:eastAsia="仿宋" w:cs="Times New Roman"/>
          <w:bCs/>
          <w:sz w:val="28"/>
          <w:szCs w:val="28"/>
          <w:highlight w:val="none"/>
          <w:lang w:val="en-US" w:eastAsia="zh-CN"/>
        </w:rPr>
        <w:t>076</w:t>
      </w: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>）</w:t>
      </w: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600" w:lineRule="exact"/>
        <w:ind w:left="570" w:leftChars="0" w:right="0" w:rightChars="0"/>
        <w:jc w:val="left"/>
        <w:textAlignment w:val="auto"/>
        <w:rPr>
          <w:rFonts w:hint="default" w:ascii="Times New Roman" w:hAnsi="Times New Roman" w:eastAsia="仿宋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eastAsia" w:eastAsia="仿宋" w:cs="Times New Roman"/>
          <w:b/>
          <w:sz w:val="28"/>
          <w:szCs w:val="28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仿宋" w:cs="Times New Roman"/>
          <w:b/>
          <w:sz w:val="28"/>
          <w:szCs w:val="28"/>
          <w:highlight w:val="none"/>
          <w:lang w:val="en-US" w:eastAsia="zh-CN"/>
        </w:rPr>
        <w:t>审议《关于公司对外捐赠和帮扶工作的议案</w:t>
      </w:r>
      <w:r>
        <w:rPr>
          <w:rFonts w:hint="eastAsia" w:eastAsia="仿宋" w:cs="Times New Roman"/>
          <w:b/>
          <w:sz w:val="28"/>
          <w:szCs w:val="28"/>
          <w:highlight w:val="none"/>
          <w:lang w:val="en-US"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548" w:firstLineChars="196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会议以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9票赞同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、0票反对、0票弃权，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通过了《关于公司对外捐赠和帮扶工作的议案》。为积极履行上市公司社会责任、回馈社会，</w:t>
      </w:r>
      <w:r>
        <w:rPr>
          <w:rFonts w:hint="eastAsia" w:ascii="仿宋_GB2312" w:hAnsi="仿宋_GB2312" w:eastAsia="仿宋_GB2312" w:cs="Times New Roman"/>
          <w:kern w:val="2"/>
          <w:sz w:val="28"/>
          <w:szCs w:val="22"/>
          <w:highlight w:val="none"/>
          <w:lang w:val="en-US" w:eastAsia="zh-CN" w:bidi="ar"/>
        </w:rPr>
        <w:t>按照公司对外捐赠和帮扶工作安排，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同意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公司及所属单位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向</w:t>
      </w:r>
      <w:r>
        <w:rPr>
          <w:rFonts w:hint="eastAsia" w:ascii="仿宋" w:hAnsi="仿宋" w:eastAsia="仿宋" w:cs="仿宋"/>
          <w:sz w:val="28"/>
          <w:szCs w:val="28"/>
        </w:rPr>
        <w:t>珲春市密江乡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捐赠</w:t>
      </w:r>
      <w:r>
        <w:rPr>
          <w:rFonts w:hint="eastAsia" w:ascii="仿宋" w:hAnsi="仿宋" w:eastAsia="仿宋" w:cs="仿宋"/>
          <w:sz w:val="28"/>
          <w:szCs w:val="28"/>
        </w:rPr>
        <w:t>70万元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，向</w:t>
      </w:r>
      <w:r>
        <w:rPr>
          <w:rFonts w:hint="eastAsia" w:ascii="仿宋" w:hAnsi="仿宋" w:eastAsia="仿宋" w:cs="仿宋"/>
          <w:sz w:val="28"/>
          <w:szCs w:val="28"/>
        </w:rPr>
        <w:t>通榆县东兴隆村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提供</w:t>
      </w:r>
      <w:r>
        <w:rPr>
          <w:rFonts w:hint="eastAsia" w:ascii="仿宋" w:hAnsi="仿宋" w:eastAsia="仿宋" w:cs="仿宋"/>
          <w:sz w:val="28"/>
          <w:szCs w:val="28"/>
        </w:rPr>
        <w:t>捐赠帮扶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资金</w:t>
      </w:r>
      <w:r>
        <w:rPr>
          <w:rFonts w:hint="eastAsia" w:ascii="仿宋" w:hAnsi="仿宋" w:eastAsia="仿宋" w:cs="仿宋"/>
          <w:sz w:val="28"/>
          <w:szCs w:val="28"/>
        </w:rPr>
        <w:t>5万元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向</w:t>
      </w:r>
      <w:r>
        <w:rPr>
          <w:rFonts w:hint="eastAsia" w:ascii="仿宋" w:hAnsi="仿宋" w:eastAsia="仿宋" w:cs="仿宋"/>
          <w:sz w:val="28"/>
          <w:szCs w:val="28"/>
        </w:rPr>
        <w:t>汪清县春阳镇乡、大兴沟镇村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提供</w:t>
      </w:r>
      <w:r>
        <w:rPr>
          <w:rFonts w:hint="eastAsia" w:ascii="仿宋" w:hAnsi="仿宋" w:eastAsia="仿宋" w:cs="仿宋"/>
          <w:sz w:val="28"/>
          <w:szCs w:val="28"/>
        </w:rPr>
        <w:t>振兴帮扶资金50万元</w:t>
      </w:r>
      <w:bookmarkStart w:id="0" w:name="_Hlk148010840"/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向</w:t>
      </w:r>
      <w:r>
        <w:rPr>
          <w:rFonts w:hint="eastAsia" w:ascii="仿宋" w:hAnsi="仿宋" w:eastAsia="仿宋" w:cs="仿宋"/>
          <w:sz w:val="28"/>
          <w:szCs w:val="28"/>
        </w:rPr>
        <w:t>河南省商城县贫困学生</w:t>
      </w:r>
      <w:bookmarkEnd w:id="0"/>
      <w:r>
        <w:rPr>
          <w:rFonts w:hint="eastAsia" w:ascii="仿宋" w:hAnsi="仿宋" w:eastAsia="仿宋" w:cs="仿宋"/>
          <w:sz w:val="28"/>
          <w:szCs w:val="28"/>
        </w:rPr>
        <w:t>实施帮扶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提供</w:t>
      </w:r>
      <w:r>
        <w:rPr>
          <w:rFonts w:hint="eastAsia" w:ascii="仿宋" w:hAnsi="仿宋" w:eastAsia="仿宋" w:cs="仿宋"/>
          <w:sz w:val="28"/>
          <w:szCs w:val="28"/>
        </w:rPr>
        <w:t>捐赠帮扶资金20万元，共计145万元</w:t>
      </w: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>。</w:t>
      </w:r>
    </w:p>
    <w:p>
      <w:pPr>
        <w:spacing w:line="560" w:lineRule="exact"/>
        <w:ind w:firstLine="562" w:firstLineChars="200"/>
        <w:rPr>
          <w:rFonts w:hint="eastAsia" w:eastAsia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eastAsia="仿宋"/>
          <w:b/>
          <w:bCs/>
          <w:color w:val="000000"/>
          <w:sz w:val="28"/>
          <w:szCs w:val="28"/>
        </w:rPr>
        <w:t>（</w:t>
      </w:r>
      <w:r>
        <w:rPr>
          <w:rFonts w:hint="eastAsia" w:ascii="Times New Roman" w:eastAsia="仿宋"/>
          <w:b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Times New Roman" w:eastAsia="仿宋"/>
          <w:b/>
          <w:bCs/>
          <w:color w:val="000000"/>
          <w:sz w:val="28"/>
          <w:szCs w:val="28"/>
        </w:rPr>
        <w:t>）</w:t>
      </w:r>
      <w:r>
        <w:rPr>
          <w:rFonts w:hint="eastAsia" w:ascii="Times New Roman" w:eastAsia="仿宋"/>
          <w:b/>
          <w:bCs/>
          <w:color w:val="000000"/>
          <w:sz w:val="28"/>
          <w:szCs w:val="28"/>
          <w:lang w:val="en-US" w:eastAsia="zh-CN"/>
        </w:rPr>
        <w:t>审议《</w:t>
      </w:r>
      <w:r>
        <w:rPr>
          <w:rFonts w:hAnsi="仿宋" w:eastAsia="仿宋"/>
          <w:b/>
          <w:bCs/>
          <w:sz w:val="28"/>
          <w:szCs w:val="28"/>
        </w:rPr>
        <w:t>关于</w:t>
      </w:r>
      <w:r>
        <w:rPr>
          <w:rFonts w:hint="eastAsia" w:hAnsi="仿宋" w:eastAsia="仿宋"/>
          <w:b/>
          <w:bCs/>
          <w:sz w:val="28"/>
          <w:szCs w:val="28"/>
        </w:rPr>
        <w:t>修订</w:t>
      </w:r>
      <w:r>
        <w:rPr>
          <w:rFonts w:hint="eastAsia" w:hAnsi="仿宋" w:eastAsia="仿宋"/>
          <w:b/>
          <w:bCs/>
          <w:sz w:val="28"/>
          <w:szCs w:val="28"/>
          <w:lang w:val="en-US" w:eastAsia="zh-CN"/>
        </w:rPr>
        <w:t>&lt;</w:t>
      </w:r>
      <w:r>
        <w:rPr>
          <w:rFonts w:hint="eastAsia" w:hAnsi="仿宋" w:eastAsia="仿宋"/>
          <w:b/>
          <w:bCs/>
          <w:sz w:val="28"/>
          <w:szCs w:val="28"/>
        </w:rPr>
        <w:t>吉林电力股份有限公司</w:t>
      </w:r>
      <w:r>
        <w:rPr>
          <w:rFonts w:hint="eastAsia" w:hAnsi="仿宋" w:eastAsia="仿宋"/>
          <w:b/>
          <w:bCs/>
          <w:sz w:val="28"/>
          <w:szCs w:val="28"/>
          <w:lang w:val="en-US" w:eastAsia="zh-CN"/>
        </w:rPr>
        <w:t>合规管理规定&gt;</w:t>
      </w:r>
      <w:r>
        <w:rPr>
          <w:rFonts w:hint="eastAsia" w:hAnsi="仿宋" w:eastAsia="仿宋"/>
          <w:b/>
          <w:bCs/>
          <w:sz w:val="28"/>
          <w:szCs w:val="28"/>
        </w:rPr>
        <w:t>的</w:t>
      </w:r>
      <w:r>
        <w:rPr>
          <w:rFonts w:hAnsi="仿宋" w:eastAsia="仿宋"/>
          <w:b/>
          <w:bCs/>
          <w:sz w:val="28"/>
          <w:szCs w:val="28"/>
        </w:rPr>
        <w:t>议案</w:t>
      </w:r>
      <w:r>
        <w:rPr>
          <w:rFonts w:hint="eastAsia" w:hAnsi="仿宋" w:eastAsia="仿宋"/>
          <w:b/>
          <w:bCs/>
          <w:sz w:val="28"/>
          <w:szCs w:val="28"/>
          <w:lang w:eastAsia="zh-CN"/>
        </w:rPr>
        <w:t>》</w:t>
      </w:r>
    </w:p>
    <w:p>
      <w:pPr>
        <w:spacing w:line="560" w:lineRule="exact"/>
        <w:ind w:firstLine="560" w:firstLineChars="200"/>
        <w:rPr>
          <w:rFonts w:hint="eastAsia" w:eastAsia="仿宋"/>
          <w:sz w:val="28"/>
          <w:szCs w:val="28"/>
        </w:rPr>
      </w:pPr>
      <w:r>
        <w:rPr>
          <w:rFonts w:hint="eastAsia" w:hAnsi="仿宋" w:eastAsia="仿宋"/>
          <w:color w:val="000000"/>
          <w:sz w:val="28"/>
          <w:szCs w:val="28"/>
        </w:rPr>
        <w:t>会议以</w:t>
      </w:r>
      <w:r>
        <w:rPr>
          <w:rFonts w:hint="eastAsia" w:hAnsi="仿宋" w:eastAsia="仿宋"/>
          <w:color w:val="000000"/>
          <w:sz w:val="28"/>
          <w:szCs w:val="28"/>
          <w:lang w:val="en-US" w:eastAsia="zh-CN"/>
        </w:rPr>
        <w:t>9</w:t>
      </w:r>
      <w:r>
        <w:rPr>
          <w:rFonts w:hint="eastAsia" w:hAnsi="仿宋" w:eastAsia="仿宋"/>
          <w:color w:val="000000"/>
          <w:sz w:val="28"/>
          <w:szCs w:val="28"/>
        </w:rPr>
        <w:t>票赞同、</w:t>
      </w:r>
      <w:r>
        <w:rPr>
          <w:rFonts w:hAnsi="仿宋" w:eastAsia="仿宋"/>
          <w:color w:val="000000"/>
          <w:sz w:val="28"/>
          <w:szCs w:val="28"/>
        </w:rPr>
        <w:t>0</w:t>
      </w:r>
      <w:r>
        <w:rPr>
          <w:rFonts w:hint="eastAsia" w:hAnsi="仿宋" w:eastAsia="仿宋"/>
          <w:color w:val="000000"/>
          <w:sz w:val="28"/>
          <w:szCs w:val="28"/>
        </w:rPr>
        <w:t>票反对、</w:t>
      </w:r>
      <w:r>
        <w:rPr>
          <w:rFonts w:hAnsi="仿宋" w:eastAsia="仿宋"/>
          <w:color w:val="000000"/>
          <w:sz w:val="28"/>
          <w:szCs w:val="28"/>
        </w:rPr>
        <w:t>0</w:t>
      </w:r>
      <w:r>
        <w:rPr>
          <w:rFonts w:hint="eastAsia" w:hAnsi="仿宋" w:eastAsia="仿宋"/>
          <w:color w:val="000000"/>
          <w:sz w:val="28"/>
          <w:szCs w:val="28"/>
        </w:rPr>
        <w:t>票弃权，通过了《</w:t>
      </w:r>
      <w:r>
        <w:rPr>
          <w:rFonts w:hAnsi="仿宋" w:eastAsia="仿宋"/>
          <w:color w:val="000000"/>
          <w:sz w:val="28"/>
          <w:szCs w:val="28"/>
        </w:rPr>
        <w:t>关于</w:t>
      </w:r>
      <w:r>
        <w:rPr>
          <w:rFonts w:hint="eastAsia" w:hAnsi="仿宋" w:eastAsia="仿宋"/>
          <w:color w:val="000000"/>
          <w:sz w:val="28"/>
          <w:szCs w:val="28"/>
        </w:rPr>
        <w:t>修订&lt;吉林电力股份有限公司合规管理规定</w:t>
      </w:r>
      <w:r>
        <w:rPr>
          <w:rFonts w:hint="eastAsia" w:hAnsi="仿宋" w:eastAsia="仿宋"/>
          <w:sz w:val="28"/>
          <w:szCs w:val="28"/>
        </w:rPr>
        <w:t>&gt;的</w:t>
      </w:r>
      <w:r>
        <w:rPr>
          <w:rFonts w:hAnsi="仿宋" w:eastAsia="仿宋"/>
          <w:sz w:val="28"/>
          <w:szCs w:val="28"/>
        </w:rPr>
        <w:t>议案</w:t>
      </w:r>
      <w:r>
        <w:rPr>
          <w:rFonts w:hint="eastAsia" w:eastAsia="仿宋_GB2312"/>
          <w:sz w:val="28"/>
          <w:szCs w:val="28"/>
        </w:rPr>
        <w:t>》</w:t>
      </w:r>
      <w:r>
        <w:rPr>
          <w:rFonts w:hint="eastAsia" w:eastAsia="仿宋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hAnsi="仿宋" w:eastAsia="仿宋"/>
          <w:color w:val="000000"/>
          <w:sz w:val="28"/>
          <w:szCs w:val="28"/>
        </w:rPr>
      </w:pPr>
      <w:r>
        <w:rPr>
          <w:rFonts w:hAnsi="仿宋" w:eastAsia="仿宋"/>
          <w:color w:val="000000"/>
          <w:sz w:val="28"/>
          <w:szCs w:val="28"/>
        </w:rPr>
        <w:t>具体内容详见同日刊载于巨潮资讯网站上的《</w:t>
      </w:r>
      <w:r>
        <w:rPr>
          <w:rFonts w:hint="eastAsia" w:hAnsi="仿宋" w:eastAsia="仿宋"/>
          <w:color w:val="000000"/>
          <w:sz w:val="28"/>
          <w:szCs w:val="28"/>
        </w:rPr>
        <w:t>吉林电力股份有限公司合规管理规定</w:t>
      </w:r>
      <w:r>
        <w:rPr>
          <w:rFonts w:hAnsi="仿宋" w:eastAsia="仿宋"/>
          <w:color w:val="000000"/>
          <w:sz w:val="28"/>
          <w:szCs w:val="28"/>
        </w:rPr>
        <w:t>》</w:t>
      </w:r>
      <w:r>
        <w:rPr>
          <w:rFonts w:hint="eastAsia" w:hAnsi="仿宋" w:eastAsia="仿宋"/>
          <w:color w:val="000000"/>
          <w:sz w:val="28"/>
          <w:szCs w:val="28"/>
        </w:rPr>
        <w:t>。</w:t>
      </w:r>
    </w:p>
    <w:p>
      <w:pPr>
        <w:spacing w:line="240" w:lineRule="auto"/>
        <w:ind w:firstLine="562" w:firstLineChars="200"/>
        <w:rPr>
          <w:rFonts w:eastAsia="仿宋"/>
          <w:b/>
          <w:sz w:val="28"/>
          <w:szCs w:val="28"/>
        </w:rPr>
      </w:pPr>
      <w:r>
        <w:rPr>
          <w:rFonts w:hAnsi="仿宋" w:eastAsia="仿宋"/>
          <w:b/>
          <w:sz w:val="28"/>
          <w:szCs w:val="28"/>
        </w:rPr>
        <w:t>三、备查文件</w:t>
      </w:r>
    </w:p>
    <w:p>
      <w:pPr>
        <w:spacing w:line="240" w:lineRule="auto"/>
        <w:ind w:firstLine="560" w:firstLineChars="200"/>
        <w:rPr>
          <w:rFonts w:hint="eastAsia" w:hAnsi="仿宋" w:eastAsia="仿宋"/>
          <w:sz w:val="28"/>
          <w:szCs w:val="28"/>
          <w:lang w:eastAsia="zh-CN"/>
        </w:rPr>
      </w:pPr>
      <w:r>
        <w:rPr>
          <w:rFonts w:hint="eastAsia" w:hAnsi="仿宋" w:eastAsia="仿宋"/>
          <w:sz w:val="28"/>
          <w:szCs w:val="28"/>
          <w:lang w:val="en-US" w:eastAsia="zh-CN"/>
        </w:rPr>
        <w:t>1.</w:t>
      </w:r>
      <w:r>
        <w:rPr>
          <w:rFonts w:hint="eastAsia" w:hAnsi="仿宋" w:eastAsia="仿宋"/>
          <w:sz w:val="28"/>
          <w:szCs w:val="28"/>
        </w:rPr>
        <w:t>经与会董事签字并加盖董事会印章的董事会决议</w:t>
      </w:r>
      <w:r>
        <w:rPr>
          <w:rFonts w:hint="eastAsia" w:hAnsi="仿宋" w:eastAsia="仿宋"/>
          <w:sz w:val="28"/>
          <w:szCs w:val="28"/>
          <w:lang w:eastAsia="zh-CN"/>
        </w:rPr>
        <w:t>；</w:t>
      </w: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 w:hAnsi="仿宋" w:eastAsia="仿宋"/>
          <w:sz w:val="28"/>
          <w:szCs w:val="28"/>
          <w:lang w:val="en-US" w:eastAsia="zh-CN"/>
        </w:rPr>
        <w:t>2.独立董事事前认可和独立意见。</w:t>
      </w:r>
    </w:p>
    <w:p>
      <w:pPr>
        <w:spacing w:line="240" w:lineRule="auto"/>
        <w:ind w:firstLine="560" w:firstLineChars="200"/>
        <w:rPr>
          <w:rFonts w:hint="default" w:hAnsi="仿宋" w:eastAsia="仿宋"/>
          <w:sz w:val="28"/>
          <w:szCs w:val="28"/>
          <w:lang w:val="en-US" w:eastAsia="zh-CN"/>
        </w:rPr>
      </w:pPr>
    </w:p>
    <w:p>
      <w:pPr>
        <w:spacing w:line="240" w:lineRule="auto"/>
        <w:ind w:firstLine="560" w:firstLineChars="200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Ansi="仿宋" w:eastAsia="仿宋"/>
          <w:sz w:val="28"/>
          <w:szCs w:val="28"/>
        </w:rPr>
        <w:t>特此公告。</w:t>
      </w:r>
      <w:r>
        <w:rPr>
          <w:rFonts w:eastAsia="仿宋"/>
          <w:sz w:val="28"/>
          <w:szCs w:val="28"/>
        </w:rPr>
        <w:t xml:space="preserve"> </w:t>
      </w:r>
    </w:p>
    <w:p>
      <w:pPr>
        <w:spacing w:line="240" w:lineRule="auto"/>
        <w:ind w:firstLine="4620" w:firstLineChars="1650"/>
        <w:rPr>
          <w:rFonts w:hint="eastAsia" w:hAnsi="仿宋" w:eastAsia="仿宋"/>
          <w:sz w:val="28"/>
          <w:szCs w:val="28"/>
        </w:rPr>
      </w:pPr>
    </w:p>
    <w:p>
      <w:pPr>
        <w:spacing w:line="240" w:lineRule="auto"/>
        <w:ind w:firstLine="4620" w:firstLineChars="1650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吉林电力股份有限公司董事会</w:t>
      </w:r>
    </w:p>
    <w:p>
      <w:pPr>
        <w:spacing w:line="24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</w:rPr>
        <w:t xml:space="preserve">   二○二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十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三十</w:t>
      </w:r>
      <w:r>
        <w:rPr>
          <w:rFonts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14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7BA9ED"/>
    <w:multiLevelType w:val="singleLevel"/>
    <w:tmpl w:val="867BA9E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ZDUxMmU3NmEwMTE5M2Q5ZTg0MGVmOGY5OWRhMDQifQ=="/>
  </w:docVars>
  <w:rsids>
    <w:rsidRoot w:val="00172A27"/>
    <w:rsid w:val="00032C27"/>
    <w:rsid w:val="00040532"/>
    <w:rsid w:val="00050CCD"/>
    <w:rsid w:val="00060F06"/>
    <w:rsid w:val="000617E9"/>
    <w:rsid w:val="00063883"/>
    <w:rsid w:val="00076493"/>
    <w:rsid w:val="00080B07"/>
    <w:rsid w:val="00096F4F"/>
    <w:rsid w:val="000A4200"/>
    <w:rsid w:val="000A716B"/>
    <w:rsid w:val="000B5336"/>
    <w:rsid w:val="000C505B"/>
    <w:rsid w:val="000D2E0E"/>
    <w:rsid w:val="000D7BDF"/>
    <w:rsid w:val="000D7FB5"/>
    <w:rsid w:val="000E01B3"/>
    <w:rsid w:val="000F0015"/>
    <w:rsid w:val="000F0F46"/>
    <w:rsid w:val="00100970"/>
    <w:rsid w:val="00105B80"/>
    <w:rsid w:val="00116734"/>
    <w:rsid w:val="0012023F"/>
    <w:rsid w:val="001237EF"/>
    <w:rsid w:val="001353A8"/>
    <w:rsid w:val="00144CB5"/>
    <w:rsid w:val="00167307"/>
    <w:rsid w:val="00180C45"/>
    <w:rsid w:val="00186D8A"/>
    <w:rsid w:val="0019309A"/>
    <w:rsid w:val="001944E6"/>
    <w:rsid w:val="00194BC5"/>
    <w:rsid w:val="0019603A"/>
    <w:rsid w:val="001A1716"/>
    <w:rsid w:val="001A1B8A"/>
    <w:rsid w:val="001A207C"/>
    <w:rsid w:val="001A3E4E"/>
    <w:rsid w:val="001B1AB2"/>
    <w:rsid w:val="001B2252"/>
    <w:rsid w:val="001C091A"/>
    <w:rsid w:val="001C59FD"/>
    <w:rsid w:val="001D0B1A"/>
    <w:rsid w:val="001E0CE7"/>
    <w:rsid w:val="001E12F1"/>
    <w:rsid w:val="001F26D7"/>
    <w:rsid w:val="001F7EC3"/>
    <w:rsid w:val="002078BC"/>
    <w:rsid w:val="00210965"/>
    <w:rsid w:val="00210C3E"/>
    <w:rsid w:val="002111A4"/>
    <w:rsid w:val="0021748A"/>
    <w:rsid w:val="002330EF"/>
    <w:rsid w:val="00247CB2"/>
    <w:rsid w:val="002648A7"/>
    <w:rsid w:val="00272A19"/>
    <w:rsid w:val="00282919"/>
    <w:rsid w:val="00286F06"/>
    <w:rsid w:val="00290E3D"/>
    <w:rsid w:val="0029442E"/>
    <w:rsid w:val="002A4BB7"/>
    <w:rsid w:val="002C06F6"/>
    <w:rsid w:val="002D0524"/>
    <w:rsid w:val="00301AFE"/>
    <w:rsid w:val="0030385D"/>
    <w:rsid w:val="00311B77"/>
    <w:rsid w:val="00315A06"/>
    <w:rsid w:val="00317173"/>
    <w:rsid w:val="003236C9"/>
    <w:rsid w:val="00332B48"/>
    <w:rsid w:val="00344A3F"/>
    <w:rsid w:val="00347328"/>
    <w:rsid w:val="00361AF0"/>
    <w:rsid w:val="003722EB"/>
    <w:rsid w:val="00374393"/>
    <w:rsid w:val="00382C01"/>
    <w:rsid w:val="003918C0"/>
    <w:rsid w:val="003C00A0"/>
    <w:rsid w:val="003D223F"/>
    <w:rsid w:val="003E3455"/>
    <w:rsid w:val="003E6997"/>
    <w:rsid w:val="003E6D5F"/>
    <w:rsid w:val="003E77E4"/>
    <w:rsid w:val="003F4468"/>
    <w:rsid w:val="004031AE"/>
    <w:rsid w:val="004315C1"/>
    <w:rsid w:val="00434199"/>
    <w:rsid w:val="00435EC5"/>
    <w:rsid w:val="00456AB6"/>
    <w:rsid w:val="0046007E"/>
    <w:rsid w:val="00464CE8"/>
    <w:rsid w:val="00467241"/>
    <w:rsid w:val="00471578"/>
    <w:rsid w:val="00477A3F"/>
    <w:rsid w:val="0048287D"/>
    <w:rsid w:val="004865A3"/>
    <w:rsid w:val="00491786"/>
    <w:rsid w:val="00497115"/>
    <w:rsid w:val="004A58D4"/>
    <w:rsid w:val="004B333E"/>
    <w:rsid w:val="004B41D8"/>
    <w:rsid w:val="004C5648"/>
    <w:rsid w:val="004E3EDE"/>
    <w:rsid w:val="004F5595"/>
    <w:rsid w:val="005141DD"/>
    <w:rsid w:val="005227A2"/>
    <w:rsid w:val="005316E9"/>
    <w:rsid w:val="005403F5"/>
    <w:rsid w:val="00555E40"/>
    <w:rsid w:val="00556B20"/>
    <w:rsid w:val="005607C8"/>
    <w:rsid w:val="005679A7"/>
    <w:rsid w:val="005733BE"/>
    <w:rsid w:val="00575D3F"/>
    <w:rsid w:val="00596FFE"/>
    <w:rsid w:val="005B0365"/>
    <w:rsid w:val="005B1D70"/>
    <w:rsid w:val="005B2F1E"/>
    <w:rsid w:val="005B5540"/>
    <w:rsid w:val="005C6857"/>
    <w:rsid w:val="005C7911"/>
    <w:rsid w:val="005F2635"/>
    <w:rsid w:val="005F7311"/>
    <w:rsid w:val="00613367"/>
    <w:rsid w:val="00613778"/>
    <w:rsid w:val="00614223"/>
    <w:rsid w:val="006202DB"/>
    <w:rsid w:val="00626A66"/>
    <w:rsid w:val="00662EB9"/>
    <w:rsid w:val="00663C5F"/>
    <w:rsid w:val="006655E8"/>
    <w:rsid w:val="0068689A"/>
    <w:rsid w:val="00692D2E"/>
    <w:rsid w:val="00697B9D"/>
    <w:rsid w:val="006C6190"/>
    <w:rsid w:val="006C738C"/>
    <w:rsid w:val="006C7EE8"/>
    <w:rsid w:val="006F1D2F"/>
    <w:rsid w:val="006F75B6"/>
    <w:rsid w:val="0070148A"/>
    <w:rsid w:val="007061B5"/>
    <w:rsid w:val="0070710C"/>
    <w:rsid w:val="00714085"/>
    <w:rsid w:val="0072750B"/>
    <w:rsid w:val="007303D4"/>
    <w:rsid w:val="00734D00"/>
    <w:rsid w:val="007735FD"/>
    <w:rsid w:val="00774328"/>
    <w:rsid w:val="007773A3"/>
    <w:rsid w:val="007A037D"/>
    <w:rsid w:val="007B1D46"/>
    <w:rsid w:val="007B2E47"/>
    <w:rsid w:val="007B4B52"/>
    <w:rsid w:val="007B6127"/>
    <w:rsid w:val="007D651A"/>
    <w:rsid w:val="007E57C2"/>
    <w:rsid w:val="007E7D8E"/>
    <w:rsid w:val="00815BB6"/>
    <w:rsid w:val="00821AF4"/>
    <w:rsid w:val="00833A81"/>
    <w:rsid w:val="0083447F"/>
    <w:rsid w:val="00855B2B"/>
    <w:rsid w:val="008639EE"/>
    <w:rsid w:val="00885DC6"/>
    <w:rsid w:val="00887D7E"/>
    <w:rsid w:val="00890462"/>
    <w:rsid w:val="008910BB"/>
    <w:rsid w:val="0089533A"/>
    <w:rsid w:val="008A1D2B"/>
    <w:rsid w:val="008E5796"/>
    <w:rsid w:val="008F1013"/>
    <w:rsid w:val="008F3BB7"/>
    <w:rsid w:val="00902187"/>
    <w:rsid w:val="009066C9"/>
    <w:rsid w:val="00910607"/>
    <w:rsid w:val="009168C7"/>
    <w:rsid w:val="009369BD"/>
    <w:rsid w:val="00936FCC"/>
    <w:rsid w:val="00953466"/>
    <w:rsid w:val="00960B3D"/>
    <w:rsid w:val="00962EE8"/>
    <w:rsid w:val="0097552F"/>
    <w:rsid w:val="009776CE"/>
    <w:rsid w:val="0098425F"/>
    <w:rsid w:val="009912E7"/>
    <w:rsid w:val="009A5DD7"/>
    <w:rsid w:val="009B5146"/>
    <w:rsid w:val="009D1F0F"/>
    <w:rsid w:val="009E6263"/>
    <w:rsid w:val="009F02FF"/>
    <w:rsid w:val="009F32DA"/>
    <w:rsid w:val="009F6331"/>
    <w:rsid w:val="00A01A82"/>
    <w:rsid w:val="00A124FF"/>
    <w:rsid w:val="00A227A1"/>
    <w:rsid w:val="00A24D0F"/>
    <w:rsid w:val="00A422EB"/>
    <w:rsid w:val="00A42665"/>
    <w:rsid w:val="00A53012"/>
    <w:rsid w:val="00A55B55"/>
    <w:rsid w:val="00A642EB"/>
    <w:rsid w:val="00A66ABE"/>
    <w:rsid w:val="00A70D6A"/>
    <w:rsid w:val="00A713BD"/>
    <w:rsid w:val="00A80F74"/>
    <w:rsid w:val="00A87743"/>
    <w:rsid w:val="00AA1239"/>
    <w:rsid w:val="00AA7219"/>
    <w:rsid w:val="00AB4220"/>
    <w:rsid w:val="00AB60C4"/>
    <w:rsid w:val="00AD4F05"/>
    <w:rsid w:val="00AE42BF"/>
    <w:rsid w:val="00AF2FE6"/>
    <w:rsid w:val="00B014F2"/>
    <w:rsid w:val="00B03EC2"/>
    <w:rsid w:val="00B051F2"/>
    <w:rsid w:val="00B1127C"/>
    <w:rsid w:val="00B14819"/>
    <w:rsid w:val="00B16EB8"/>
    <w:rsid w:val="00B3529A"/>
    <w:rsid w:val="00B45E21"/>
    <w:rsid w:val="00B56BC7"/>
    <w:rsid w:val="00B65EEB"/>
    <w:rsid w:val="00B7235F"/>
    <w:rsid w:val="00B92A1C"/>
    <w:rsid w:val="00BA6F63"/>
    <w:rsid w:val="00BB4792"/>
    <w:rsid w:val="00BB5426"/>
    <w:rsid w:val="00BD121D"/>
    <w:rsid w:val="00BD3CE0"/>
    <w:rsid w:val="00BE2A45"/>
    <w:rsid w:val="00BE2D30"/>
    <w:rsid w:val="00BF2062"/>
    <w:rsid w:val="00BF5258"/>
    <w:rsid w:val="00C03713"/>
    <w:rsid w:val="00C1068E"/>
    <w:rsid w:val="00C143FB"/>
    <w:rsid w:val="00C17586"/>
    <w:rsid w:val="00C248D1"/>
    <w:rsid w:val="00C30B9F"/>
    <w:rsid w:val="00C31F28"/>
    <w:rsid w:val="00C376E4"/>
    <w:rsid w:val="00C446F0"/>
    <w:rsid w:val="00C5289A"/>
    <w:rsid w:val="00C55D96"/>
    <w:rsid w:val="00C573D7"/>
    <w:rsid w:val="00C7722A"/>
    <w:rsid w:val="00C863FE"/>
    <w:rsid w:val="00CA0418"/>
    <w:rsid w:val="00CA43ED"/>
    <w:rsid w:val="00CB209D"/>
    <w:rsid w:val="00CB540C"/>
    <w:rsid w:val="00CC09BE"/>
    <w:rsid w:val="00CC60A7"/>
    <w:rsid w:val="00CD0441"/>
    <w:rsid w:val="00CF2D46"/>
    <w:rsid w:val="00CF2E41"/>
    <w:rsid w:val="00D012D2"/>
    <w:rsid w:val="00D0427A"/>
    <w:rsid w:val="00D04AD7"/>
    <w:rsid w:val="00D10FA8"/>
    <w:rsid w:val="00D12696"/>
    <w:rsid w:val="00D15C3A"/>
    <w:rsid w:val="00D2028C"/>
    <w:rsid w:val="00D21D71"/>
    <w:rsid w:val="00D27205"/>
    <w:rsid w:val="00D30BC9"/>
    <w:rsid w:val="00D31326"/>
    <w:rsid w:val="00D366D4"/>
    <w:rsid w:val="00D41430"/>
    <w:rsid w:val="00D41AD0"/>
    <w:rsid w:val="00D47CED"/>
    <w:rsid w:val="00D50DA6"/>
    <w:rsid w:val="00D50F88"/>
    <w:rsid w:val="00D55CC8"/>
    <w:rsid w:val="00D55CE2"/>
    <w:rsid w:val="00D60CCC"/>
    <w:rsid w:val="00D64E2F"/>
    <w:rsid w:val="00D721E3"/>
    <w:rsid w:val="00D73A55"/>
    <w:rsid w:val="00D74D94"/>
    <w:rsid w:val="00D80A15"/>
    <w:rsid w:val="00D857FA"/>
    <w:rsid w:val="00D97B68"/>
    <w:rsid w:val="00DA29AB"/>
    <w:rsid w:val="00DA3DA5"/>
    <w:rsid w:val="00DA4A1D"/>
    <w:rsid w:val="00DA693C"/>
    <w:rsid w:val="00DB02ED"/>
    <w:rsid w:val="00DC6BFF"/>
    <w:rsid w:val="00DC7533"/>
    <w:rsid w:val="00DC7D6F"/>
    <w:rsid w:val="00DD0E5A"/>
    <w:rsid w:val="00DD10AF"/>
    <w:rsid w:val="00DD4D65"/>
    <w:rsid w:val="00DE2886"/>
    <w:rsid w:val="00DE64BD"/>
    <w:rsid w:val="00DE79D9"/>
    <w:rsid w:val="00DF6193"/>
    <w:rsid w:val="00E16A6F"/>
    <w:rsid w:val="00E264CD"/>
    <w:rsid w:val="00E4537E"/>
    <w:rsid w:val="00E60D6A"/>
    <w:rsid w:val="00E6794C"/>
    <w:rsid w:val="00E730D2"/>
    <w:rsid w:val="00E74F0D"/>
    <w:rsid w:val="00E86604"/>
    <w:rsid w:val="00E94A62"/>
    <w:rsid w:val="00EB6031"/>
    <w:rsid w:val="00EB6A1D"/>
    <w:rsid w:val="00EB6A52"/>
    <w:rsid w:val="00EC0623"/>
    <w:rsid w:val="00EC514C"/>
    <w:rsid w:val="00EC6521"/>
    <w:rsid w:val="00EE0110"/>
    <w:rsid w:val="00EE0B7D"/>
    <w:rsid w:val="00EF23BB"/>
    <w:rsid w:val="00F10761"/>
    <w:rsid w:val="00F175C1"/>
    <w:rsid w:val="00F17F72"/>
    <w:rsid w:val="00F46244"/>
    <w:rsid w:val="00F506EF"/>
    <w:rsid w:val="00F55B14"/>
    <w:rsid w:val="00F72A87"/>
    <w:rsid w:val="00F75A87"/>
    <w:rsid w:val="00F808D1"/>
    <w:rsid w:val="00F80F4B"/>
    <w:rsid w:val="00F8414F"/>
    <w:rsid w:val="00FA3D2C"/>
    <w:rsid w:val="00FA5151"/>
    <w:rsid w:val="00FB2E30"/>
    <w:rsid w:val="00FC64E9"/>
    <w:rsid w:val="00FE04F8"/>
    <w:rsid w:val="00FE48FF"/>
    <w:rsid w:val="02C76350"/>
    <w:rsid w:val="02EB284B"/>
    <w:rsid w:val="033F0AA9"/>
    <w:rsid w:val="037912E8"/>
    <w:rsid w:val="038E3AB3"/>
    <w:rsid w:val="03DB24A3"/>
    <w:rsid w:val="0424285C"/>
    <w:rsid w:val="04276CA2"/>
    <w:rsid w:val="049724E5"/>
    <w:rsid w:val="05694C2C"/>
    <w:rsid w:val="07657711"/>
    <w:rsid w:val="078D176E"/>
    <w:rsid w:val="08993C39"/>
    <w:rsid w:val="08BA0B0A"/>
    <w:rsid w:val="08D40066"/>
    <w:rsid w:val="0B0953DC"/>
    <w:rsid w:val="0B89400A"/>
    <w:rsid w:val="0BA710FC"/>
    <w:rsid w:val="0BB71290"/>
    <w:rsid w:val="0C0B5BAB"/>
    <w:rsid w:val="0C2E0CA0"/>
    <w:rsid w:val="0C4C0236"/>
    <w:rsid w:val="0E3C6CA4"/>
    <w:rsid w:val="0EFC6A88"/>
    <w:rsid w:val="0F751DB1"/>
    <w:rsid w:val="0F8E21D2"/>
    <w:rsid w:val="0FE5570B"/>
    <w:rsid w:val="0FFD3854"/>
    <w:rsid w:val="10CF7921"/>
    <w:rsid w:val="10E80D18"/>
    <w:rsid w:val="11E700A0"/>
    <w:rsid w:val="13612ABE"/>
    <w:rsid w:val="14ED6637"/>
    <w:rsid w:val="15124365"/>
    <w:rsid w:val="165E614E"/>
    <w:rsid w:val="16963EA3"/>
    <w:rsid w:val="169B7EEE"/>
    <w:rsid w:val="169F5F8F"/>
    <w:rsid w:val="17DD1349"/>
    <w:rsid w:val="18BB098D"/>
    <w:rsid w:val="1A1B5981"/>
    <w:rsid w:val="1A20035F"/>
    <w:rsid w:val="1A333B74"/>
    <w:rsid w:val="1AB51758"/>
    <w:rsid w:val="1B0C3229"/>
    <w:rsid w:val="1B793D98"/>
    <w:rsid w:val="1CD010E0"/>
    <w:rsid w:val="1CDF7B28"/>
    <w:rsid w:val="1D4224C0"/>
    <w:rsid w:val="1D9305F9"/>
    <w:rsid w:val="1ECA79DC"/>
    <w:rsid w:val="20212042"/>
    <w:rsid w:val="207C1FA3"/>
    <w:rsid w:val="20CA0BB7"/>
    <w:rsid w:val="21122C2D"/>
    <w:rsid w:val="21D710E2"/>
    <w:rsid w:val="24CD47EB"/>
    <w:rsid w:val="25122D46"/>
    <w:rsid w:val="251D73ED"/>
    <w:rsid w:val="25300549"/>
    <w:rsid w:val="285E0A04"/>
    <w:rsid w:val="288D2F01"/>
    <w:rsid w:val="28A135A5"/>
    <w:rsid w:val="28D9274A"/>
    <w:rsid w:val="29455FC1"/>
    <w:rsid w:val="2A6C7C4E"/>
    <w:rsid w:val="2AFB6782"/>
    <w:rsid w:val="2BEA59FE"/>
    <w:rsid w:val="2CB453DB"/>
    <w:rsid w:val="2D727374"/>
    <w:rsid w:val="2DAD3DA8"/>
    <w:rsid w:val="2ECD0484"/>
    <w:rsid w:val="2EFF35E6"/>
    <w:rsid w:val="2F475EB2"/>
    <w:rsid w:val="2F7E0C8A"/>
    <w:rsid w:val="30E8310B"/>
    <w:rsid w:val="317733EB"/>
    <w:rsid w:val="320C34BD"/>
    <w:rsid w:val="32313AFD"/>
    <w:rsid w:val="323F48DF"/>
    <w:rsid w:val="327C2101"/>
    <w:rsid w:val="32C83CC2"/>
    <w:rsid w:val="340128AF"/>
    <w:rsid w:val="34545AF0"/>
    <w:rsid w:val="361E27E8"/>
    <w:rsid w:val="36BB74A1"/>
    <w:rsid w:val="36C35828"/>
    <w:rsid w:val="36ED7166"/>
    <w:rsid w:val="375575DB"/>
    <w:rsid w:val="390E0DCF"/>
    <w:rsid w:val="39405424"/>
    <w:rsid w:val="39BA157A"/>
    <w:rsid w:val="39EF6D24"/>
    <w:rsid w:val="39F21A2C"/>
    <w:rsid w:val="3A48600E"/>
    <w:rsid w:val="3BA16D5E"/>
    <w:rsid w:val="3BAE07E3"/>
    <w:rsid w:val="3CE36CF9"/>
    <w:rsid w:val="3D4309A0"/>
    <w:rsid w:val="3F0B7BDD"/>
    <w:rsid w:val="3F1F3420"/>
    <w:rsid w:val="3FC91793"/>
    <w:rsid w:val="3FF41927"/>
    <w:rsid w:val="40B17C19"/>
    <w:rsid w:val="413F2FFF"/>
    <w:rsid w:val="42007935"/>
    <w:rsid w:val="430C5226"/>
    <w:rsid w:val="438B2D66"/>
    <w:rsid w:val="43BD2800"/>
    <w:rsid w:val="452456B8"/>
    <w:rsid w:val="459323B1"/>
    <w:rsid w:val="45D56C40"/>
    <w:rsid w:val="45FB313A"/>
    <w:rsid w:val="477826D9"/>
    <w:rsid w:val="47916879"/>
    <w:rsid w:val="492A0D59"/>
    <w:rsid w:val="493A05D1"/>
    <w:rsid w:val="49515129"/>
    <w:rsid w:val="49BE7F9D"/>
    <w:rsid w:val="4BAF5B1C"/>
    <w:rsid w:val="4C0015A1"/>
    <w:rsid w:val="4C115E6D"/>
    <w:rsid w:val="4D313125"/>
    <w:rsid w:val="4E451B7C"/>
    <w:rsid w:val="4E7F0FA0"/>
    <w:rsid w:val="4FA46011"/>
    <w:rsid w:val="4FF12258"/>
    <w:rsid w:val="50DC1856"/>
    <w:rsid w:val="52033927"/>
    <w:rsid w:val="52156CCD"/>
    <w:rsid w:val="523F7A94"/>
    <w:rsid w:val="5274720B"/>
    <w:rsid w:val="53283DD1"/>
    <w:rsid w:val="53337FE8"/>
    <w:rsid w:val="54BA38B9"/>
    <w:rsid w:val="556425C0"/>
    <w:rsid w:val="55982D5C"/>
    <w:rsid w:val="55C32841"/>
    <w:rsid w:val="55E44DF6"/>
    <w:rsid w:val="56167B49"/>
    <w:rsid w:val="564E5B2E"/>
    <w:rsid w:val="57F93244"/>
    <w:rsid w:val="58110728"/>
    <w:rsid w:val="5B747372"/>
    <w:rsid w:val="5E847E80"/>
    <w:rsid w:val="5F193B53"/>
    <w:rsid w:val="5FAF5FD4"/>
    <w:rsid w:val="6087703E"/>
    <w:rsid w:val="615C28B3"/>
    <w:rsid w:val="61787C20"/>
    <w:rsid w:val="61820730"/>
    <w:rsid w:val="61E84355"/>
    <w:rsid w:val="62724FEA"/>
    <w:rsid w:val="63503322"/>
    <w:rsid w:val="647A5B0E"/>
    <w:rsid w:val="64CE0951"/>
    <w:rsid w:val="64D06E4F"/>
    <w:rsid w:val="651A3427"/>
    <w:rsid w:val="67FA2F15"/>
    <w:rsid w:val="684E7943"/>
    <w:rsid w:val="69754A02"/>
    <w:rsid w:val="69812D7F"/>
    <w:rsid w:val="69AF61D6"/>
    <w:rsid w:val="6A254F79"/>
    <w:rsid w:val="6A9E4820"/>
    <w:rsid w:val="6BA735F3"/>
    <w:rsid w:val="6BC17B7F"/>
    <w:rsid w:val="6C94392B"/>
    <w:rsid w:val="6CCF7E1C"/>
    <w:rsid w:val="6CE97B32"/>
    <w:rsid w:val="6D350F31"/>
    <w:rsid w:val="6FE1132F"/>
    <w:rsid w:val="7146349D"/>
    <w:rsid w:val="73644DEE"/>
    <w:rsid w:val="73EE4AAE"/>
    <w:rsid w:val="745E75D3"/>
    <w:rsid w:val="746F7E37"/>
    <w:rsid w:val="74B41868"/>
    <w:rsid w:val="75236B91"/>
    <w:rsid w:val="75755D56"/>
    <w:rsid w:val="75D63CE0"/>
    <w:rsid w:val="768A4B20"/>
    <w:rsid w:val="78F753F4"/>
    <w:rsid w:val="7C782F70"/>
    <w:rsid w:val="7CAB4A05"/>
    <w:rsid w:val="7E6D5CBE"/>
    <w:rsid w:val="7F2672F1"/>
    <w:rsid w:val="7F9428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link w:val="14"/>
    <w:semiHidden/>
    <w:uiPriority w:val="0"/>
    <w:rPr>
      <w:rFonts w:ascii="Tahoma" w:hAnsi="Tahoma"/>
      <w:sz w:val="24"/>
      <w:szCs w:val="20"/>
    </w:rPr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1"/>
    <w:qFormat/>
    <w:uiPriority w:val="0"/>
    <w:pPr>
      <w:ind w:firstLine="640" w:firstLineChars="200"/>
    </w:pPr>
    <w:rPr>
      <w:sz w:val="32"/>
    </w:rPr>
  </w:style>
  <w:style w:type="paragraph" w:styleId="5">
    <w:name w:val="annotation text"/>
    <w:basedOn w:val="1"/>
    <w:link w:val="18"/>
    <w:semiHidden/>
    <w:uiPriority w:val="0"/>
    <w:pPr>
      <w:jc w:val="left"/>
    </w:p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0"/>
    <w:rPr>
      <w:sz w:val="24"/>
    </w:rPr>
  </w:style>
  <w:style w:type="paragraph" w:styleId="11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0" w:firstLineChars="0"/>
      <w:jc w:val="center"/>
      <w:outlineLvl w:val="0"/>
    </w:pPr>
    <w:rPr>
      <w:rFonts w:hint="default" w:ascii="Times New Roman" w:hAnsi="Times New Roman" w:eastAsia="宋体" w:cs="Times New Roman"/>
      <w:b/>
      <w:kern w:val="2"/>
      <w:sz w:val="44"/>
      <w:szCs w:val="32"/>
      <w:lang w:val="en-US" w:eastAsia="zh-CN" w:bidi="ar"/>
    </w:rPr>
  </w:style>
  <w:style w:type="paragraph" w:customStyle="1" w:styleId="14">
    <w:name w:val="_Style 9"/>
    <w:basedOn w:val="1"/>
    <w:link w:val="13"/>
    <w:uiPriority w:val="0"/>
    <w:rPr>
      <w:rFonts w:ascii="Tahoma" w:hAnsi="Tahoma" w:eastAsia="Times New Roman"/>
      <w:kern w:val="0"/>
      <w:sz w:val="24"/>
      <w:szCs w:val="20"/>
    </w:rPr>
  </w:style>
  <w:style w:type="character" w:styleId="15">
    <w:name w:val="page number"/>
    <w:basedOn w:val="13"/>
    <w:uiPriority w:val="0"/>
  </w:style>
  <w:style w:type="character" w:styleId="16">
    <w:name w:val="Hyperlink"/>
    <w:basedOn w:val="13"/>
    <w:uiPriority w:val="0"/>
    <w:rPr>
      <w:color w:val="0000FF"/>
      <w:u w:val="single"/>
    </w:rPr>
  </w:style>
  <w:style w:type="character" w:styleId="17">
    <w:name w:val="annotation reference"/>
    <w:semiHidden/>
    <w:uiPriority w:val="0"/>
    <w:rPr>
      <w:rFonts w:ascii="Tahoma" w:hAnsi="Tahoma"/>
      <w:sz w:val="21"/>
      <w:szCs w:val="21"/>
    </w:rPr>
  </w:style>
  <w:style w:type="character" w:customStyle="1" w:styleId="18">
    <w:name w:val=" Char Char"/>
    <w:link w:val="5"/>
    <w:semiHidden/>
    <w:locked/>
    <w:uiPriority w:val="0"/>
    <w:rPr>
      <w:rFonts w:ascii="Tahoma" w:hAnsi="Tahoma" w:eastAsia="宋体"/>
      <w:kern w:val="2"/>
      <w:sz w:val="21"/>
      <w:szCs w:val="24"/>
      <w:lang w:val="en-US" w:eastAsia="zh-CN" w:bidi="ar-SA"/>
    </w:rPr>
  </w:style>
  <w:style w:type="character" w:customStyle="1" w:styleId="19">
    <w:name w:val="da1"/>
    <w:uiPriority w:val="0"/>
    <w:rPr>
      <w:rFonts w:hint="default" w:ascii="_x000B__x000C_" w:hAnsi="_x000B__x000C_"/>
      <w:color w:val="000000"/>
      <w:spacing w:val="360"/>
      <w:sz w:val="21"/>
      <w:szCs w:val="21"/>
      <w:u w:val="none"/>
    </w:rPr>
  </w:style>
  <w:style w:type="character" w:customStyle="1" w:styleId="20">
    <w:name w:val="NormalCharacter"/>
    <w:qFormat/>
    <w:uiPriority w:val="0"/>
    <w:rPr>
      <w:rFonts w:ascii="Calibri" w:hAnsi="Calibri" w:eastAsia="宋体"/>
      <w:kern w:val="2"/>
      <w:sz w:val="22"/>
      <w:lang w:val="en-US" w:eastAsia="zh-CN"/>
    </w:rPr>
  </w:style>
  <w:style w:type="character" w:customStyle="1" w:styleId="21">
    <w:name w:val="UserStyle_1"/>
    <w:link w:val="22"/>
    <w:qFormat/>
    <w:locked/>
    <w:uiPriority w:val="0"/>
    <w:rPr>
      <w:rFonts w:ascii="Calibri" w:hAnsi="Calibri"/>
      <w:kern w:val="0"/>
      <w:sz w:val="20"/>
      <w:szCs w:val="20"/>
    </w:rPr>
  </w:style>
  <w:style w:type="paragraph" w:customStyle="1" w:styleId="22">
    <w:name w:val="UserStyle_2"/>
    <w:basedOn w:val="1"/>
    <w:link w:val="21"/>
    <w:qFormat/>
    <w:uiPriority w:val="0"/>
    <w:pPr>
      <w:widowControl/>
      <w:ind w:firstLine="420" w:firstLineChars="200"/>
      <w:textAlignment w:val="baseline"/>
    </w:pPr>
    <w:rPr>
      <w:rFonts w:ascii="Calibri" w:hAnsi="Calibri"/>
      <w:kern w:val="0"/>
      <w:sz w:val="20"/>
      <w:szCs w:val="20"/>
    </w:rPr>
  </w:style>
  <w:style w:type="paragraph" w:customStyle="1" w:styleId="23">
    <w:name w:val=" Char Char3"/>
    <w:basedOn w:val="1"/>
    <w:uiPriority w:val="0"/>
  </w:style>
  <w:style w:type="paragraph" w:customStyle="1" w:styleId="24">
    <w:name w:val=" Char1 Char Char Char Char Char Char Char Char Char Char Char"/>
    <w:basedOn w:val="1"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25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6">
    <w:name w:val="Char Char Char1"/>
    <w:basedOn w:val="1"/>
    <w:uiPriority w:val="0"/>
    <w:pPr>
      <w:spacing w:before="312" w:beforeLines="100"/>
    </w:pPr>
    <w:rPr>
      <w:rFonts w:ascii="Tahoma" w:hAnsi="Tahoma" w:eastAsia="Times New Roman"/>
      <w:kern w:val="0"/>
      <w:sz w:val="24"/>
      <w:szCs w:val="20"/>
    </w:rPr>
  </w:style>
  <w:style w:type="paragraph" w:customStyle="1" w:styleId="27">
    <w:name w:val="Char Char Char Char Char Char Char"/>
    <w:basedOn w:val="1"/>
    <w:uiPriority w:val="0"/>
  </w:style>
  <w:style w:type="paragraph" w:customStyle="1" w:styleId="28">
    <w:name w:val="BodyTextIndent"/>
    <w:basedOn w:val="1"/>
    <w:next w:val="1"/>
    <w:qFormat/>
    <w:uiPriority w:val="0"/>
    <w:pPr>
      <w:widowControl/>
      <w:ind w:firstLine="720" w:firstLineChars="240"/>
      <w:jc w:val="both"/>
      <w:textAlignment w:val="baseline"/>
    </w:pPr>
    <w:rPr>
      <w:rFonts w:ascii="Times New Roman" w:hAnsi="Times New Roman" w:eastAsia="宋体"/>
      <w:kern w:val="2"/>
      <w:sz w:val="30"/>
      <w:szCs w:val="24"/>
      <w:lang w:val="en-US" w:eastAsia="zh-CN" w:bidi="ar-SA"/>
    </w:rPr>
  </w:style>
  <w:style w:type="paragraph" w:customStyle="1" w:styleId="29">
    <w:name w:val="样式2"/>
    <w:basedOn w:val="4"/>
    <w:next w:val="4"/>
    <w:qFormat/>
    <w:uiPriority w:val="0"/>
    <w:pPr>
      <w:tabs>
        <w:tab w:val="left" w:pos="425"/>
      </w:tabs>
      <w:ind w:firstLine="420"/>
    </w:pPr>
    <w:rPr>
      <w:sz w:val="30"/>
      <w:szCs w:val="30"/>
    </w:rPr>
  </w:style>
  <w:style w:type="paragraph" w:customStyle="1" w:styleId="30">
    <w:name w:val="Char1 Char Char Char Char Char Char Char Char Char Char Char"/>
    <w:basedOn w:val="1"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 w:eastAsia="Times New Roman"/>
      <w:kern w:val="0"/>
      <w:sz w:val="24"/>
      <w:szCs w:val="20"/>
    </w:rPr>
  </w:style>
  <w:style w:type="paragraph" w:customStyle="1" w:styleId="31">
    <w:name w:val="Char Char3"/>
    <w:basedOn w:val="1"/>
    <w:qFormat/>
    <w:uiPriority w:val="0"/>
    <w:rPr>
      <w:rFonts w:ascii="Tahoma" w:hAnsi="Tahoma" w:eastAsia="Times New Roman"/>
      <w:kern w:val="0"/>
      <w:sz w:val="24"/>
      <w:szCs w:val="20"/>
    </w:rPr>
  </w:style>
  <w:style w:type="paragraph" w:customStyle="1" w:styleId="32">
    <w:name w:val="Char Char Char Char Char Char Char Char Char Char Char Char Char"/>
    <w:basedOn w:val="1"/>
    <w:qFormat/>
    <w:uiPriority w:val="0"/>
  </w:style>
  <w:style w:type="paragraph" w:customStyle="1" w:styleId="33">
    <w:name w:val="默认段落字体 Para Char Char Char Char"/>
    <w:basedOn w:val="1"/>
    <w:qFormat/>
    <w:uiPriority w:val="0"/>
    <w:pPr>
      <w:snapToGrid w:val="0"/>
    </w:pPr>
    <w:rPr>
      <w:rFonts w:ascii="Arial" w:hAnsi="Arial"/>
      <w:szCs w:val="21"/>
    </w:rPr>
  </w:style>
  <w:style w:type="paragraph" w:customStyle="1" w:styleId="34">
    <w:name w:val="BodyText1I2"/>
    <w:basedOn w:val="28"/>
    <w:qFormat/>
    <w:uiPriority w:val="0"/>
    <w:pPr>
      <w:widowControl/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1230</Words>
  <Characters>7013</Characters>
  <Lines>58</Lines>
  <Paragraphs>16</Paragraphs>
  <TotalTime>2</TotalTime>
  <ScaleCrop>false</ScaleCrop>
  <LinksUpToDate>false</LinksUpToDate>
  <CharactersWithSpaces>8227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2014-03-27T06:35:00Z</dcterms:created>
  <dc:creator>郭枫</dc:creator>
  <cp:lastModifiedBy>WPS_1591103659</cp:lastModifiedBy>
  <cp:lastPrinted>2016-03-20T23:49:00Z</cp:lastPrinted>
  <dcterms:modified xsi:type="dcterms:W3CDTF">2023-10-30T07:43:35Z</dcterms:modified>
  <dc:title>证券代码：000875            证券简称：吉电股份               公告编号：2013-011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EF6CE7732D004EA597B141951CFD08D2_13</vt:lpwstr>
  </property>
</Properties>
</file>