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after="1000" w:line="560" w:lineRule="exact"/>
        <w:ind w:firstLine="900" w:firstLineChars="500"/>
        <w:jc w:val="both"/>
        <w:rPr>
          <w:rFonts w:hint="default" w:ascii="宋体" w:hAnsi="宋体" w:eastAsia="宋体" w:cs="宋体"/>
          <w:b/>
          <w:bCs/>
          <w:sz w:val="18"/>
          <w:szCs w:val="18"/>
          <w:lang w:val="en-US" w:eastAsia="zh-CN"/>
        </w:rPr>
      </w:pPr>
      <w:r>
        <w:rPr>
          <w:rFonts w:ascii="宋体" w:hAnsi="宋体" w:eastAsia="宋体" w:cs="宋体"/>
          <w:b/>
          <w:bCs/>
          <w:sz w:val="18"/>
          <w:szCs w:val="18"/>
        </w:rPr>
        <w:t>证券代码：000875                证券简称：吉电股份                公告编号：</w:t>
      </w:r>
      <w:r>
        <w:rPr>
          <w:rFonts w:hint="eastAsia" w:ascii="宋体" w:hAnsi="宋体" w:eastAsia="宋体" w:cs="宋体"/>
          <w:b/>
          <w:bCs/>
          <w:sz w:val="18"/>
          <w:szCs w:val="18"/>
          <w:lang w:val="en-US" w:eastAsia="zh-CN"/>
        </w:rPr>
        <w:t>2023—063</w:t>
      </w:r>
    </w:p>
    <w:p>
      <w:pPr>
        <w:spacing w:before="0" w:after="1000" w:line="400" w:lineRule="exact"/>
        <w:jc w:val="center"/>
        <w:rPr>
          <w:rFonts w:ascii="宋体" w:hAnsi="宋体" w:eastAsia="宋体" w:cs="宋体"/>
          <w:b/>
          <w:bCs/>
          <w:sz w:val="36"/>
          <w:szCs w:val="36"/>
        </w:rPr>
      </w:pPr>
      <w:r>
        <w:rPr>
          <w:rFonts w:ascii="宋体" w:hAnsi="宋体" w:eastAsia="宋体" w:cs="宋体"/>
          <w:b/>
          <w:bCs/>
          <w:sz w:val="36"/>
          <w:szCs w:val="36"/>
        </w:rPr>
        <w:t>吉林电力股份有限公司2023年半年度报告摘要</w:t>
      </w:r>
    </w:p>
    <w:p>
      <w:r>
        <w:br w:type="page"/>
      </w:r>
    </w:p>
    <w:p>
      <w:pPr>
        <w:keepNext/>
        <w:keepLines/>
        <w:spacing w:before="30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pPr>
        <w:spacing w:before="40" w:after="40" w:line="240" w:lineRule="exact"/>
        <w:jc w:val="left"/>
        <w:rPr>
          <w:rFonts w:ascii="宋体" w:hAnsi="宋体" w:eastAsia="宋体" w:cs="宋体"/>
          <w:sz w:val="18"/>
          <w:szCs w:val="18"/>
        </w:rPr>
      </w:pPr>
      <w:r>
        <w:rPr>
          <w:rFonts w:ascii="宋体" w:hAnsi="宋体" w:eastAsia="宋体" w:cs="宋体"/>
          <w:sz w:val="18"/>
          <w:szCs w:val="18"/>
        </w:rPr>
        <w:t>本半年度报告摘要来自半年度报告全文，为全面了解本公司的经营成果、财务状况及未来发展规划，投资者应当到证监会指定媒体仔细阅读半年度报告全文。</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除下列董事外，其他董事亲自出席了审议本次半年报的董事会会议</w:t>
      </w:r>
    </w:p>
    <w:tbl>
      <w:tblPr>
        <w:tblStyle w:val="3"/>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未亲自出席董事姓名</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未亲自出席董事职务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未亲自出席会议原因</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被委托人姓名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明旭东</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董事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因公无法出席</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梁宏</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非标准审计意见提示</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100" w:after="40" w:line="240" w:lineRule="exact"/>
        <w:jc w:val="left"/>
        <w:rPr>
          <w:rFonts w:ascii="宋体" w:hAnsi="宋体" w:eastAsia="宋体" w:cs="宋体"/>
          <w:sz w:val="18"/>
          <w:szCs w:val="18"/>
        </w:rPr>
      </w:pPr>
      <w:r>
        <w:rPr>
          <w:rFonts w:ascii="宋体" w:hAnsi="宋体" w:eastAsia="宋体" w:cs="宋体"/>
          <w:sz w:val="18"/>
          <w:szCs w:val="18"/>
        </w:rPr>
        <w:t>董事会审议的报告期普通股利润分配预案或公积金转增股本预案</w:t>
      </w:r>
    </w:p>
    <w:p>
      <w:pPr>
        <w:spacing w:before="0" w:after="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是否以公积金转增股本</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公司经本次董事会审议通过的利润分配预案为：以</w:t>
      </w:r>
      <w:r>
        <w:rPr>
          <w:rFonts w:hint="eastAsia" w:ascii="宋体" w:hAnsi="宋体" w:cs="宋体"/>
          <w:sz w:val="18"/>
          <w:szCs w:val="18"/>
          <w:lang w:val="en-US" w:eastAsia="zh-CN"/>
        </w:rPr>
        <w:t>现有总股本</w:t>
      </w:r>
      <w:bookmarkStart w:id="11" w:name="_GoBack"/>
      <w:bookmarkEnd w:id="11"/>
      <w:r>
        <w:rPr>
          <w:rFonts w:ascii="宋体" w:hAnsi="宋体" w:eastAsia="宋体" w:cs="宋体"/>
          <w:sz w:val="18"/>
          <w:szCs w:val="18"/>
        </w:rPr>
        <w:t>2,790,208,174股为基数，向全体股东每10股派发现金红利1.10元（含税），送红股0股（含税），不以公积金转增股本。</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董事会决议通过的本报告期优先股利润分配预案</w:t>
      </w:r>
    </w:p>
    <w:p>
      <w:pPr>
        <w:spacing w:before="0" w:after="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2142"/>
        <w:gridCol w:w="1071"/>
        <w:gridCol w:w="1071"/>
        <w:gridCol w:w="21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吉电股份</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000875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股票上市交易所</w:t>
            </w:r>
          </w:p>
        </w:tc>
        <w:tc>
          <w:tcPr>
            <w:tcW w:w="6426"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联系人和联系方式</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刘爽</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高雪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吉林省长春市人民大街9699号，邮编130022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0431-81150932</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0431-81150933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jdgf@spic.com.cn</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gaoxue@spic.com.cn</w:t>
            </w:r>
          </w:p>
        </w:tc>
      </w:tr>
    </w:tbl>
    <w:p>
      <w:pPr>
        <w:keepNext/>
        <w:keepLines/>
        <w:spacing w:before="300" w:after="300" w:line="280" w:lineRule="exact"/>
        <w:jc w:val="left"/>
        <w:outlineLvl w:val="2"/>
        <w:rPr>
          <w:rFonts w:ascii="宋体" w:hAnsi="宋体" w:eastAsia="宋体" w:cs="宋体"/>
          <w:b/>
          <w:bCs/>
          <w:sz w:val="21"/>
          <w:szCs w:val="21"/>
        </w:rPr>
      </w:pPr>
      <w:bookmarkStart w:id="3" w:name="_Toc988892"/>
      <w:r>
        <w:rPr>
          <w:rFonts w:ascii="宋体" w:hAnsi="宋体" w:eastAsia="宋体" w:cs="宋体"/>
          <w:b/>
          <w:bCs/>
          <w:sz w:val="21"/>
          <w:szCs w:val="21"/>
        </w:rPr>
        <w:t>2、主要财务数据和财务指标</w:t>
      </w:r>
      <w:bookmarkEnd w:id="3"/>
    </w:p>
    <w:p>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是 □否</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追溯调整或重述原因</w:t>
      </w:r>
    </w:p>
    <w:p>
      <w:pPr>
        <w:spacing w:before="0" w:after="0" w:line="240" w:lineRule="exact"/>
        <w:jc w:val="left"/>
        <w:rPr>
          <w:rFonts w:ascii="宋体" w:hAnsi="宋体" w:eastAsia="宋体" w:cs="宋体"/>
          <w:sz w:val="18"/>
          <w:szCs w:val="18"/>
        </w:rPr>
      </w:pPr>
      <w:r>
        <w:rPr>
          <w:rFonts w:ascii="宋体" w:hAnsi="宋体" w:eastAsia="宋体" w:cs="宋体"/>
          <w:sz w:val="18"/>
          <w:szCs w:val="18"/>
        </w:rPr>
        <w:t>会计政策变更</w:t>
      </w:r>
    </w:p>
    <w:tbl>
      <w:tblPr>
        <w:tblStyle w:val="3"/>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2"/>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7,634,441,218.79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7,700,928,824.31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896,989,620.99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753,545,203.52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754,959,806.71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867,026,566.11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746,528,072.67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747,942,675.86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2,041,840,370.05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4,611,246,745.69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4,611,246,745.69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321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73,680,632,250.32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71,519,003,610.53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12,135,506,696.56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8.57%</w:t>
            </w:r>
          </w:p>
        </w:tc>
      </w:tr>
    </w:tbl>
    <w:p>
      <w:pPr>
        <w:spacing w:before="100" w:after="100" w:line="240" w:lineRule="exact"/>
        <w:jc w:val="left"/>
        <w:rPr>
          <w:rFonts w:ascii="宋体" w:hAnsi="宋体" w:eastAsia="宋体" w:cs="宋体"/>
          <w:sz w:val="18"/>
          <w:szCs w:val="18"/>
        </w:rPr>
      </w:pPr>
      <w:r>
        <w:rPr>
          <w:rFonts w:ascii="宋体" w:hAnsi="宋体" w:eastAsia="宋体" w:cs="宋体"/>
          <w:sz w:val="18"/>
          <w:szCs w:val="18"/>
        </w:rPr>
        <w:t>会计政策变更的原因及会计差错更正的情况</w:t>
      </w:r>
    </w:p>
    <w:p>
      <w:pPr>
        <w:pStyle w:val="2"/>
        <w:keepNext w:val="0"/>
        <w:keepLines w:val="0"/>
        <w:widowControl/>
        <w:suppressLineNumbers w:val="0"/>
        <w:spacing w:line="560" w:lineRule="atLeast"/>
        <w:rPr>
          <w:rFonts w:hint="eastAsia" w:ascii="宋体" w:hAnsi="宋体" w:eastAsia="宋体" w:cs="宋体"/>
          <w:sz w:val="18"/>
          <w:szCs w:val="18"/>
        </w:rPr>
      </w:pPr>
      <w:r>
        <w:rPr>
          <w:rFonts w:hint="eastAsia" w:ascii="宋体" w:hAnsi="宋体" w:eastAsia="宋体" w:cs="宋体"/>
          <w:sz w:val="18"/>
          <w:szCs w:val="18"/>
        </w:rPr>
        <w:t>财政部于2022年11月30日发布了《企业会计准则解释第16号》（以下简称“解释16号”）。解释16号对企业单项交易产生的资产和负债相关的递延所得税初始确认的相关会计政策进行变更，本公司自2023年1月1日起施行。根据解释16号的规定，企业将单项交易产生的资产和负债相关的递延所得税不适用初始确认豁免的，应当按照《企业会计准则第18号——所得税》规定，对该交易因资产和负债的初始确认所产生的应纳税暂时性差异和可抵扣暂时性差异，在交易发生时分别确认相应的递延所得税负债和递延所得税资产。按照解释16号的规定，公司对2022年度的财务报表进行了追溯调整（详见本报告第十节“财务报告第五项：第44条，重要会计政策和会计估计变更”）。</w:t>
      </w:r>
    </w:p>
    <w:p>
      <w:pPr>
        <w:keepNext/>
        <w:keepLines/>
        <w:spacing w:before="300" w:after="300" w:line="280" w:lineRule="exact"/>
        <w:jc w:val="left"/>
        <w:outlineLvl w:val="2"/>
        <w:rPr>
          <w:rFonts w:ascii="宋体" w:hAnsi="宋体" w:eastAsia="宋体" w:cs="宋体"/>
          <w:b/>
          <w:bCs/>
          <w:sz w:val="21"/>
          <w:szCs w:val="21"/>
        </w:rPr>
      </w:pPr>
      <w:bookmarkStart w:id="4" w:name="_Toc988893"/>
      <w:r>
        <w:rPr>
          <w:rFonts w:ascii="宋体" w:hAnsi="宋体" w:eastAsia="宋体" w:cs="宋体"/>
          <w:b/>
          <w:bCs/>
          <w:sz w:val="21"/>
          <w:szCs w:val="21"/>
        </w:rPr>
        <w:t>3、公司股东数量及持股情况</w:t>
      </w:r>
      <w:bookmarkEnd w:id="4"/>
    </w:p>
    <w:p>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2142"/>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177,971</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9639"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前10名股东持股情况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214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0.81%</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22,646,354</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0.73%</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20,245,227</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0.51%</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14,191,551</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李明东</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9,000,000</w:t>
            </w:r>
          </w:p>
        </w:tc>
        <w:tc>
          <w:tcPr>
            <w:tcW w:w="214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7497"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国家电投、吉林能投、财务公司、成套公司之间存在关联关系，属于《上市公司收购管理办法》规定的一致行动人。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参与融资融券业务股东情况说明（如有）</w:t>
            </w:r>
          </w:p>
        </w:tc>
        <w:tc>
          <w:tcPr>
            <w:tcW w:w="7497"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1.前10名无限售流通股东郑捷文通过信用帐户持有本公司股份10,471,475股。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2.前10名无限售流通股东李明东通过信用帐户持有本公司股份9,000,000股。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3.前10名无限售流通股东林文新通过信用帐户持有本公司股份3,023,974股，通过普通证券帐户持有公司股份5,968,426股，合计持有本公司股份8,992,400股。</w:t>
            </w:r>
          </w:p>
        </w:tc>
      </w:tr>
    </w:tbl>
    <w:p>
      <w:pPr>
        <w:keepNext/>
        <w:keepLines/>
        <w:spacing w:before="300" w:after="300" w:line="280" w:lineRule="exact"/>
        <w:jc w:val="left"/>
        <w:outlineLvl w:val="2"/>
        <w:rPr>
          <w:rFonts w:ascii="宋体" w:hAnsi="宋体" w:eastAsia="宋体" w:cs="宋体"/>
          <w:b/>
          <w:bCs/>
          <w:sz w:val="21"/>
          <w:szCs w:val="21"/>
        </w:rPr>
      </w:pPr>
      <w:bookmarkStart w:id="5" w:name="_Toc988894"/>
      <w:r>
        <w:rPr>
          <w:rFonts w:ascii="宋体" w:hAnsi="宋体" w:eastAsia="宋体" w:cs="宋体"/>
          <w:b/>
          <w:bCs/>
          <w:sz w:val="21"/>
          <w:szCs w:val="21"/>
        </w:rPr>
        <w:t>4、控股股东或实际控制人变更情况</w:t>
      </w:r>
      <w:bookmarkEnd w:id="5"/>
    </w:p>
    <w:p>
      <w:pPr>
        <w:spacing w:before="40" w:after="40" w:line="240" w:lineRule="exact"/>
        <w:jc w:val="left"/>
        <w:rPr>
          <w:rFonts w:ascii="宋体" w:hAnsi="宋体" w:eastAsia="宋体" w:cs="宋体"/>
          <w:sz w:val="18"/>
          <w:szCs w:val="18"/>
        </w:rPr>
      </w:pPr>
      <w:r>
        <w:rPr>
          <w:rFonts w:ascii="宋体" w:hAnsi="宋体" w:eastAsia="宋体" w:cs="宋体"/>
          <w:sz w:val="18"/>
          <w:szCs w:val="18"/>
        </w:rPr>
        <w:t>控股股东报告期内变更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公司报告期控股股东未发生变更。</w:t>
      </w:r>
    </w:p>
    <w:p>
      <w:pPr>
        <w:spacing w:before="100" w:after="100" w:line="240" w:lineRule="exact"/>
        <w:jc w:val="left"/>
        <w:rPr>
          <w:rFonts w:ascii="宋体" w:hAnsi="宋体" w:eastAsia="宋体" w:cs="宋体"/>
          <w:sz w:val="18"/>
          <w:szCs w:val="18"/>
        </w:rPr>
      </w:pPr>
      <w:r>
        <w:rPr>
          <w:rFonts w:ascii="宋体" w:hAnsi="宋体" w:eastAsia="宋体" w:cs="宋体"/>
          <w:sz w:val="18"/>
          <w:szCs w:val="18"/>
        </w:rPr>
        <w:t>实际控制人报告期内变更</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40" w:after="40" w:line="240" w:lineRule="exact"/>
        <w:jc w:val="left"/>
        <w:rPr>
          <w:rFonts w:ascii="宋体" w:hAnsi="宋体" w:eastAsia="宋体" w:cs="宋体"/>
          <w:sz w:val="18"/>
          <w:szCs w:val="18"/>
        </w:rPr>
      </w:pPr>
      <w:r>
        <w:rPr>
          <w:rFonts w:ascii="宋体" w:hAnsi="宋体" w:eastAsia="宋体" w:cs="宋体"/>
          <w:sz w:val="18"/>
          <w:szCs w:val="18"/>
        </w:rPr>
        <w:t>公司报告期实际控制人未发生变更。</w:t>
      </w:r>
    </w:p>
    <w:p>
      <w:pPr>
        <w:keepNext/>
        <w:keepLines/>
        <w:spacing w:before="300" w:after="300" w:line="280" w:lineRule="exact"/>
        <w:jc w:val="left"/>
        <w:outlineLvl w:val="2"/>
        <w:rPr>
          <w:rFonts w:ascii="宋体" w:hAnsi="宋体" w:eastAsia="宋体" w:cs="宋体"/>
          <w:b/>
          <w:bCs/>
          <w:sz w:val="21"/>
          <w:szCs w:val="21"/>
        </w:rPr>
      </w:pPr>
      <w:bookmarkStart w:id="6" w:name="_Toc988895"/>
      <w:r>
        <w:rPr>
          <w:rFonts w:ascii="宋体" w:hAnsi="宋体" w:eastAsia="宋体" w:cs="宋体"/>
          <w:b/>
          <w:bCs/>
          <w:sz w:val="21"/>
          <w:szCs w:val="21"/>
        </w:rPr>
        <w:t>5、公司优先股股东总数及前10名优先股股东持股情况表</w:t>
      </w:r>
      <w:bookmarkEnd w:id="6"/>
    </w:p>
    <w:p>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□适用 </w:t>
      </w:r>
      <w:r>
        <w:rPr>
          <w:rFonts w:ascii="宋体" w:hAnsi="宋体" w:eastAsia="宋体" w:cs="宋体"/>
          <w:sz w:val="18"/>
          <w:szCs w:val="18"/>
        </w:rPr>
        <w:sym w:font="Wingdings 2" w:char="F052"/>
      </w:r>
      <w:r>
        <w:rPr>
          <w:rFonts w:ascii="宋体" w:hAnsi="宋体" w:eastAsia="宋体" w:cs="宋体"/>
          <w:sz w:val="18"/>
          <w:szCs w:val="18"/>
        </w:rPr>
        <w:t>不适用</w:t>
      </w:r>
    </w:p>
    <w:p>
      <w:pPr>
        <w:spacing w:before="0" w:after="0" w:line="240" w:lineRule="exact"/>
        <w:jc w:val="left"/>
        <w:rPr>
          <w:rFonts w:ascii="宋体" w:hAnsi="宋体" w:eastAsia="宋体" w:cs="宋体"/>
          <w:sz w:val="18"/>
          <w:szCs w:val="18"/>
        </w:rPr>
      </w:pPr>
      <w:r>
        <w:rPr>
          <w:rFonts w:ascii="宋体" w:hAnsi="宋体" w:eastAsia="宋体" w:cs="宋体"/>
          <w:sz w:val="18"/>
          <w:szCs w:val="18"/>
        </w:rPr>
        <w:t>公司报告期无优先股股东持股情况。</w:t>
      </w:r>
    </w:p>
    <w:p>
      <w:pPr>
        <w:keepNext/>
        <w:keepLines/>
        <w:spacing w:before="300" w:after="300" w:line="280" w:lineRule="exact"/>
        <w:jc w:val="left"/>
        <w:outlineLvl w:val="2"/>
        <w:rPr>
          <w:rFonts w:ascii="宋体" w:hAnsi="宋体" w:eastAsia="宋体" w:cs="宋体"/>
          <w:b/>
          <w:bCs/>
          <w:sz w:val="21"/>
          <w:szCs w:val="21"/>
        </w:rPr>
      </w:pPr>
      <w:bookmarkStart w:id="7" w:name="_Toc988896"/>
      <w:r>
        <w:rPr>
          <w:rFonts w:ascii="宋体" w:hAnsi="宋体" w:eastAsia="宋体" w:cs="宋体"/>
          <w:b/>
          <w:bCs/>
          <w:sz w:val="21"/>
          <w:szCs w:val="21"/>
        </w:rPr>
        <w:t>6、在半年度报告批准报出日存续的债券情况</w:t>
      </w:r>
      <w:bookmarkEnd w:id="7"/>
    </w:p>
    <w:p>
      <w:pPr>
        <w:spacing w:before="40" w:after="40" w:line="240" w:lineRule="exact"/>
        <w:jc w:val="left"/>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p>
      <w:pPr>
        <w:keepNext/>
        <w:keepLines/>
        <w:spacing w:before="300" w:after="300" w:line="280" w:lineRule="exact"/>
        <w:jc w:val="left"/>
        <w:outlineLvl w:val="3"/>
        <w:rPr>
          <w:rFonts w:ascii="宋体" w:hAnsi="宋体" w:eastAsia="宋体" w:cs="宋体"/>
          <w:b/>
          <w:bCs/>
          <w:sz w:val="18"/>
          <w:szCs w:val="18"/>
        </w:rPr>
      </w:pPr>
      <w:bookmarkStart w:id="8" w:name="_Toc988897"/>
      <w:r>
        <w:rPr>
          <w:rFonts w:ascii="宋体" w:hAnsi="宋体" w:eastAsia="宋体" w:cs="宋体"/>
          <w:b/>
          <w:bCs/>
          <w:sz w:val="18"/>
          <w:szCs w:val="18"/>
        </w:rPr>
        <w:t xml:space="preserve">（1） 债券基本信息 </w:t>
      </w:r>
      <w:bookmarkEnd w:id="8"/>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债券简称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债券代码</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发行日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到期日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债券余额（万元）</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利率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吉林电力股份有限公司2022年面向专业投资者公开发行绿色公司债券(专项用于碳中和)(第一期）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149848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2022年03月17日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2027年03月18日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吉林电力股份有限公司2022年面向专业投资者公开发行绿色乡村振兴公司债券（专项用于碳中和）（第二期）</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22吉电G2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148096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2022年10月21日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2025年10月24日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吉林电力股份有限公司2023年度第一期碳排放权资产担保债务融资工具（碳中和债/专项乡村振兴/革命老区）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23吉林电力SCP001(资产担保碳中和)</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12381086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2023年03月17日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2023年09月16日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2.60%</w:t>
            </w:r>
          </w:p>
        </w:tc>
      </w:tr>
    </w:tbl>
    <w:p>
      <w:pPr>
        <w:keepNext/>
        <w:keepLines/>
        <w:spacing w:before="300" w:after="300" w:line="280" w:lineRule="exact"/>
        <w:jc w:val="left"/>
        <w:outlineLvl w:val="3"/>
        <w:rPr>
          <w:rFonts w:ascii="宋体" w:hAnsi="宋体" w:eastAsia="宋体" w:cs="宋体"/>
          <w:b/>
          <w:bCs/>
          <w:sz w:val="18"/>
          <w:szCs w:val="18"/>
        </w:rPr>
      </w:pPr>
      <w:bookmarkStart w:id="9" w:name="_Toc988898"/>
      <w:r>
        <w:rPr>
          <w:rFonts w:ascii="宋体" w:hAnsi="宋体" w:eastAsia="宋体" w:cs="宋体"/>
          <w:b/>
          <w:bCs/>
          <w:sz w:val="18"/>
          <w:szCs w:val="18"/>
        </w:rPr>
        <w:t>（2） 截至报告期末的财务指标</w:t>
      </w:r>
      <w:bookmarkEnd w:id="9"/>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单位：万元</w:t>
      </w:r>
    </w:p>
    <w:tbl>
      <w:tblPr>
        <w:tblStyle w:val="3"/>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资产负债率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EBITDA利息保障倍数</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3.78</w:t>
            </w:r>
          </w:p>
        </w:tc>
      </w:tr>
    </w:tbl>
    <w:p>
      <w:pPr>
        <w:keepNext/>
        <w:keepLines/>
        <w:spacing w:before="300" w:after="300" w:line="320" w:lineRule="exact"/>
        <w:jc w:val="left"/>
        <w:outlineLvl w:val="1"/>
        <w:rPr>
          <w:rFonts w:ascii="宋体" w:hAnsi="宋体" w:eastAsia="宋体" w:cs="宋体"/>
          <w:b/>
          <w:bCs/>
          <w:sz w:val="24"/>
          <w:szCs w:val="24"/>
        </w:rPr>
      </w:pPr>
      <w:bookmarkStart w:id="10" w:name="_Toc988899"/>
      <w:r>
        <w:rPr>
          <w:rFonts w:ascii="宋体" w:hAnsi="宋体" w:eastAsia="宋体" w:cs="宋体"/>
          <w:b/>
          <w:bCs/>
          <w:sz w:val="24"/>
          <w:szCs w:val="24"/>
        </w:rPr>
        <w:t>三、重要事项</w:t>
      </w:r>
      <w:bookmarkEnd w:id="10"/>
    </w:p>
    <w:p>
      <w:pPr>
        <w:pStyle w:val="2"/>
        <w:keepNext w:val="0"/>
        <w:keepLines w:val="0"/>
        <w:widowControl/>
        <w:suppressLineNumbers w:val="0"/>
      </w:pPr>
      <w:r>
        <w:rPr>
          <w:rFonts w:hint="eastAsia" w:ascii="宋体" w:hAnsi="宋体" w:eastAsia="宋体" w:cs="宋体"/>
          <w:sz w:val="18"/>
          <w:szCs w:val="18"/>
        </w:rPr>
        <w:t>无</w:t>
      </w: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吉林电力股份有限公司2023年半年度报告摘要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cumentProtection w:enforcement="0"/>
  <w:compat>
    <w:doNotExpandShiftReturn/>
    <w:useFELayout/>
    <w:compatSetting w:name="compatibilityMode" w:uri="http://schemas.microsoft.com/office/word" w:val="14"/>
  </w:compat>
  <w:rsids>
    <w:rsidRoot w:val="00000000"/>
    <w:rsid w:val="253508A9"/>
    <w:rsid w:val="685301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2023-08-28T07:00:00Z</dcterms:created>
  <dc:creator>huawei</dc:creator>
  <cp:lastModifiedBy>zhanghong</cp:lastModifiedBy>
  <dcterms:modified xsi:type="dcterms:W3CDTF">2023-08-29T08:40:36Z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