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 w:firstLineChars="100"/>
        <w:rPr>
          <w:rFonts w:hint="eastAsia" w:ascii="宋体" w:hAnsi="宋体" w:cs="宋体"/>
          <w:sz w:val="18"/>
          <w:szCs w:val="18"/>
          <w:lang w:val="en-US" w:eastAsia="zh-CN" w:bidi="ar-SA"/>
        </w:rPr>
      </w:pPr>
      <w:r>
        <w:rPr>
          <w:rFonts w:hint="eastAsia" w:ascii="宋体" w:hAnsi="宋体" w:cs="宋体"/>
          <w:sz w:val="18"/>
          <w:szCs w:val="18"/>
          <w:lang w:val="en-US" w:eastAsia="zh-CN" w:bidi="ar-SA"/>
        </w:rPr>
        <w:t>证券代码：000875                      证券简称：吉电股份                      公告编号：2023—075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cs="宋体"/>
          <w:color w:val="FF6600"/>
          <w:sz w:val="18"/>
          <w:szCs w:val="18"/>
          <w:lang w:val="en-US" w:eastAsia="zh-CN"/>
        </w:rPr>
      </w:pPr>
      <w:r>
        <w:rPr>
          <w:rFonts w:hint="default" w:ascii="宋体" w:hAnsi="宋体" w:cs="宋体"/>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20320</wp:posOffset>
                </wp:positionV>
                <wp:extent cx="5746115" cy="45085"/>
                <wp:effectExtent l="0" t="28575" r="14605" b="33020"/>
                <wp:wrapNone/>
                <wp:docPr id="1" name="直接连接符 1"/>
                <wp:cNvGraphicFramePr/>
                <a:graphic xmlns:a="http://schemas.openxmlformats.org/drawingml/2006/main">
                  <a:graphicData uri="http://schemas.microsoft.com/office/word/2010/wordprocessingShape">
                    <wps:wsp>
                      <wps:cNvCnPr/>
                      <wps:spPr>
                        <a:xfrm flipV="1">
                          <a:off x="0" y="0"/>
                          <a:ext cx="5746115" cy="45085"/>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pt;margin-top:1.6pt;height:3.55pt;width:452.45pt;z-index:251659264;mso-width-relative:page;mso-height-relative:page;" filled="f" stroked="t" coordsize="21600,21600" o:gfxdata="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BcNLUAAAABgEAAA8AAAAAAAAAAQAgAAAAIgAAAGRycy9k&#10;b3ducmV2LnhtbFBLAQIUABQAAAAIAIdO4kDhLtI+BgIAAPkDAAAOAAAAAAAAAAEAIAAAACMBAABk&#10;cnMvZTJvRG9jLnhtbFBLBQYAAAAABgAGAFkBAACbBQAAAAA=&#10;">
                <v:fill on="f" focussize="0,0"/>
                <v:stroke weight="4.5pt" color="#FF6600" linestyle="thinThick" joinstyle="round"/>
                <v:imagedata o:title=""/>
                <o:lock v:ext="edit" aspectratio="f"/>
              </v:line>
            </w:pict>
          </mc:Fallback>
        </mc:AlternateContent>
      </w:r>
      <w:r>
        <w:rPr>
          <w:rFonts w:hint="eastAsia" w:ascii="宋体" w:hAnsi="宋体" w:cs="宋体"/>
          <w:color w:val="FF6600"/>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kern w:val="2"/>
          <w:sz w:val="44"/>
          <w:szCs w:val="44"/>
          <w:lang w:val="en-US" w:eastAsia="zh-CN"/>
        </w:rPr>
      </w:pPr>
      <w:r>
        <w:rPr>
          <w:rFonts w:hint="eastAsia" w:ascii="宋体" w:hAnsi="宋体" w:cs="宋体"/>
          <w:b/>
          <w:kern w:val="2"/>
          <w:sz w:val="44"/>
          <w:szCs w:val="44"/>
          <w:lang w:val="en-US" w:eastAsia="zh-CN"/>
        </w:rPr>
        <w:t>吉林电力股份有限公司</w:t>
      </w:r>
    </w:p>
    <w:p>
      <w:pPr>
        <w:keepNext w:val="0"/>
        <w:keepLines w:val="0"/>
        <w:pageBreakBefore w:val="0"/>
        <w:widowControl w:val="0"/>
        <w:kinsoku/>
        <w:wordWrap/>
        <w:overflowPunct/>
        <w:topLinePunct w:val="0"/>
        <w:autoSpaceDE/>
        <w:autoSpaceDN/>
        <w:bidi w:val="0"/>
        <w:adjustRightInd/>
        <w:snapToGrid/>
        <w:spacing w:line="600" w:lineRule="exact"/>
        <w:ind w:firstLine="2640" w:firstLineChars="600"/>
        <w:jc w:val="both"/>
        <w:textAlignment w:val="auto"/>
        <w:rPr>
          <w:rFonts w:hint="eastAsia" w:ascii="宋体" w:hAnsi="宋体" w:cs="宋体"/>
          <w:b/>
          <w:kern w:val="2"/>
          <w:sz w:val="44"/>
          <w:szCs w:val="44"/>
          <w:lang w:val="en-US" w:eastAsia="zh-CN"/>
        </w:rPr>
      </w:pPr>
      <w:r>
        <w:rPr>
          <w:rFonts w:hint="eastAsia" w:ascii="宋体" w:hAnsi="宋体" w:cs="宋体"/>
          <w:b/>
          <w:kern w:val="2"/>
          <w:sz w:val="44"/>
          <w:szCs w:val="44"/>
          <w:lang w:val="en-US" w:eastAsia="zh-CN"/>
        </w:rPr>
        <w:t>2023年第三季度报告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eastAsia="仿宋"/>
          <w:b/>
          <w:sz w:val="28"/>
          <w:szCs w:val="24"/>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eastAsia="Times New Roman"/>
          <w:b/>
          <w:sz w:val="28"/>
          <w:szCs w:val="24"/>
        </w:rPr>
      </w:pPr>
      <w:r>
        <w:rPr>
          <w:rFonts w:hint="eastAsia" w:eastAsia="仿宋"/>
          <w:b/>
          <w:sz w:val="28"/>
          <w:szCs w:val="24"/>
        </w:rPr>
        <w:t>本公司及董事会全体成员保证信息披露内容的真实、准确和完整，没有虚假记载、误导性陈述或重大遗漏。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仿宋" w:eastAsia="仿宋" w:cs="Times New Roman"/>
          <w:b/>
          <w:kern w:val="2"/>
          <w:sz w:val="28"/>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仿宋" w:eastAsia="仿宋" w:cs="Times New Roman"/>
          <w:b/>
          <w:kern w:val="2"/>
          <w:sz w:val="28"/>
          <w:szCs w:val="24"/>
          <w:lang w:val="en-US" w:eastAsia="zh-CN"/>
        </w:rPr>
      </w:pPr>
      <w:r>
        <w:rPr>
          <w:rFonts w:hint="eastAsia" w:ascii="Times New Roman" w:hAnsi="仿宋" w:eastAsia="仿宋" w:cs="Times New Roman"/>
          <w:b/>
          <w:kern w:val="2"/>
          <w:sz w:val="28"/>
          <w:szCs w:val="24"/>
          <w:lang w:val="en-US" w:eastAsia="zh-CN"/>
        </w:rPr>
        <w:t>重要内容提示：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仿宋" w:eastAsia="仿宋" w:cs="Times New Roman"/>
          <w:b w:val="0"/>
          <w:bCs/>
          <w:kern w:val="2"/>
          <w:sz w:val="28"/>
          <w:szCs w:val="24"/>
          <w:lang w:val="en-US" w:eastAsia="zh-CN"/>
        </w:rPr>
      </w:pPr>
      <w:r>
        <w:rPr>
          <w:rFonts w:hint="eastAsia" w:ascii="Times New Roman" w:hAnsi="仿宋" w:eastAsia="仿宋" w:cs="Times New Roman"/>
          <w:b w:val="0"/>
          <w:bCs/>
          <w:kern w:val="2"/>
          <w:sz w:val="28"/>
          <w:szCs w:val="24"/>
          <w:lang w:val="en-US" w:eastAsia="zh-CN"/>
        </w:rPr>
        <w:t>1.董事会、监事会及董事、监事、高级管理人员保证季度报告的真实、准确、完整，不存在虚假记载、误导性陈述或重大遗漏，并承担个别和连带的法律责任。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仿宋" w:eastAsia="仿宋" w:cs="Times New Roman"/>
          <w:b w:val="0"/>
          <w:bCs/>
          <w:kern w:val="2"/>
          <w:sz w:val="28"/>
          <w:szCs w:val="24"/>
          <w:lang w:val="en-US" w:eastAsia="zh-CN"/>
        </w:rPr>
      </w:pPr>
      <w:r>
        <w:rPr>
          <w:rFonts w:hint="eastAsia" w:ascii="Times New Roman" w:hAnsi="仿宋" w:eastAsia="仿宋" w:cs="Times New Roman"/>
          <w:b w:val="0"/>
          <w:bCs/>
          <w:kern w:val="2"/>
          <w:sz w:val="28"/>
          <w:szCs w:val="24"/>
          <w:lang w:val="en-US" w:eastAsia="zh-CN"/>
        </w:rPr>
        <w:t>2.公司负责人、主管会计工作负责人及会计机构负责人(会计主管人员)声明：保证季度报告中财务信息的真实、准确、完整。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仿宋" w:eastAsia="仿宋" w:cs="Times New Roman"/>
          <w:b w:val="0"/>
          <w:bCs/>
          <w:kern w:val="2"/>
          <w:sz w:val="28"/>
          <w:szCs w:val="24"/>
          <w:lang w:val="en-US" w:eastAsia="zh-CN"/>
        </w:rPr>
      </w:pPr>
      <w:r>
        <w:rPr>
          <w:rFonts w:hint="eastAsia" w:hAnsi="仿宋" w:eastAsia="仿宋" w:cs="Times New Roman"/>
          <w:b w:val="0"/>
          <w:bCs/>
          <w:kern w:val="2"/>
          <w:sz w:val="28"/>
          <w:szCs w:val="24"/>
          <w:lang w:val="en-US" w:eastAsia="zh-CN"/>
        </w:rPr>
        <w:t>3</w:t>
      </w:r>
      <w:r>
        <w:rPr>
          <w:rFonts w:hint="eastAsia" w:ascii="Times New Roman" w:hAnsi="仿宋" w:eastAsia="仿宋" w:cs="Times New Roman"/>
          <w:b w:val="0"/>
          <w:bCs/>
          <w:kern w:val="2"/>
          <w:sz w:val="28"/>
          <w:szCs w:val="24"/>
          <w:lang w:val="en-US" w:eastAsia="zh-CN"/>
        </w:rPr>
        <w:t>.第三季度报告是否经过审计</w:t>
      </w:r>
    </w:p>
    <w:p>
      <w:pPr>
        <w:keepNext w:val="0"/>
        <w:keepLines w:val="0"/>
        <w:pageBreakBefore w:val="0"/>
        <w:widowControl w:val="0"/>
        <w:kinsoku/>
        <w:wordWrap/>
        <w:overflowPunct/>
        <w:topLinePunct w:val="0"/>
        <w:autoSpaceDE/>
        <w:autoSpaceDN/>
        <w:bidi w:val="0"/>
        <w:adjustRightInd/>
        <w:snapToGrid/>
        <w:spacing w:before="100" w:after="100" w:line="600" w:lineRule="exact"/>
        <w:ind w:firstLine="720" w:firstLineChars="3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□是 </w:t>
      </w:r>
      <w:r>
        <w:rPr>
          <w:rFonts w:hint="eastAsia" w:ascii="仿宋" w:hAnsi="仿宋" w:eastAsia="仿宋" w:cs="仿宋"/>
          <w:sz w:val="24"/>
          <w:szCs w:val="24"/>
        </w:rPr>
        <w:sym w:font="Wingdings 2" w:char="F052"/>
      </w:r>
      <w:r>
        <w:rPr>
          <w:rFonts w:hint="eastAsia" w:ascii="仿宋" w:hAnsi="仿宋" w:eastAsia="仿宋" w:cs="仿宋"/>
          <w:sz w:val="24"/>
          <w:szCs w:val="24"/>
        </w:rPr>
        <w:t>否</w:t>
      </w:r>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仿宋" w:hAnsi="仿宋" w:eastAsia="仿宋" w:cs="仿宋"/>
          <w:b/>
          <w:bCs/>
          <w:sz w:val="28"/>
          <w:szCs w:val="28"/>
        </w:rPr>
      </w:pPr>
      <w:r>
        <w:br w:type="page"/>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、主要财务数据</w:t>
      </w:r>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仿宋" w:hAnsi="仿宋" w:eastAsia="仿宋" w:cs="仿宋"/>
          <w:b/>
          <w:bCs/>
          <w:sz w:val="28"/>
          <w:szCs w:val="28"/>
        </w:rPr>
      </w:pPr>
      <w:bookmarkStart w:id="0" w:name="_Toc988890"/>
      <w:r>
        <w:rPr>
          <w:rFonts w:hint="eastAsia" w:ascii="仿宋" w:hAnsi="仿宋" w:eastAsia="仿宋" w:cs="仿宋"/>
          <w:b/>
          <w:bCs/>
          <w:sz w:val="28"/>
          <w:szCs w:val="28"/>
        </w:rPr>
        <w:t>（一） 主要会计数据和财务指标</w:t>
      </w:r>
      <w:bookmarkEnd w:id="0"/>
    </w:p>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公司是否需追溯调整或重述以前年度会计数据</w:t>
      </w:r>
    </w:p>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sym w:font="Wingdings 2" w:char="F052"/>
      </w:r>
      <w:r>
        <w:rPr>
          <w:rFonts w:hint="eastAsia" w:ascii="仿宋" w:hAnsi="仿宋" w:eastAsia="仿宋" w:cs="仿宋"/>
          <w:sz w:val="28"/>
          <w:szCs w:val="28"/>
        </w:rPr>
        <w:t>是 □否</w:t>
      </w:r>
    </w:p>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追溯调整或重述原因</w:t>
      </w:r>
    </w:p>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会计政策变更</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1"/>
        <w:gridCol w:w="1071"/>
        <w:gridCol w:w="1071"/>
        <w:gridCol w:w="1071"/>
        <w:gridCol w:w="1071"/>
        <w:gridCol w:w="1071"/>
        <w:gridCol w:w="1071"/>
        <w:gridCol w:w="1071"/>
        <w:gridCol w:w="1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本报告期</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本报告期比上年同期增减</w:t>
            </w:r>
          </w:p>
        </w:tc>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年初至报告期末</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上年同期</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年初至报告期末比上年同期增减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调整前</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调整后</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调整后</w:t>
            </w:r>
          </w:p>
        </w:tc>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调整前</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调整后</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营业收入（元）</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3,387,455,145.45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3,368,368,518.05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3,368,368,518.05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11,022,040,955.18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11,069,297,342.36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11,069,297,342.36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归属于上市公司股东的净利润（元）</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188,678,102.94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68,095,289.62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68,882,624.63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1,085,667,723.93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821,640,493.14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823,842,431.34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归属于上市公司股东的扣除非经常性损益的净利润（元）</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182,522,151.23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77,499,785.91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78,287,120.92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133.14%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1,049,548,717.34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824,027,858.58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826,229,796.78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经营活动产生的现金流量净额（元）</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3,379,436,709.52</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5,793,806,387.34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5,793,806,387.34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基本每股收益（元/股）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0.0676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0.0244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0.0247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0.2945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0.2953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稀释每股收益（元/股）</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0.0676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0.0244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0.0247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173.68%</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0.3891</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0.2945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0.2953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加权平均净资产收益率</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1.67%</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0.65%</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156.19%</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9.26%</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7.53%</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7.54%</w:t>
            </w:r>
          </w:p>
        </w:tc>
        <w:tc>
          <w:tcPr>
            <w:tcW w:w="1071"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tc>
        <w:tc>
          <w:tcPr>
            <w:tcW w:w="2142"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本报告期末</w:t>
            </w:r>
          </w:p>
        </w:tc>
        <w:tc>
          <w:tcPr>
            <w:tcW w:w="4284" w:type="dxa"/>
            <w:gridSpan w:val="4"/>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上年度末</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本报告期末比上年度末增减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142"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调整前</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调整后</w:t>
            </w:r>
          </w:p>
        </w:tc>
        <w:tc>
          <w:tcPr>
            <w:tcW w:w="2142"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调整后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总资产（元）</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74,894,825,311.25</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71,519,003,610.53</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071"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归属于上市公司股东的所有者权益（元）</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12,020,312,226.01</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11,172,487,063.46</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c>
          <w:tcPr>
            <w:tcW w:w="2142"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7.53%</w:t>
            </w:r>
          </w:p>
        </w:tc>
      </w:tr>
    </w:tbl>
    <w:p>
      <w:pPr>
        <w:spacing w:before="100" w:after="100" w:line="240" w:lineRule="exact"/>
        <w:jc w:val="left"/>
        <w:rPr>
          <w:rFonts w:hint="eastAsia" w:ascii="仿宋" w:hAnsi="仿宋" w:eastAsia="仿宋" w:cs="仿宋"/>
          <w:sz w:val="18"/>
          <w:szCs w:val="18"/>
        </w:rPr>
      </w:pPr>
      <w:r>
        <w:rPr>
          <w:rFonts w:hint="eastAsia" w:ascii="仿宋" w:hAnsi="仿宋" w:eastAsia="仿宋" w:cs="仿宋"/>
          <w:sz w:val="18"/>
          <w:szCs w:val="18"/>
        </w:rPr>
        <w:t>会计政策变更的原因及会计差错更正的情况</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财政部于2022年11月30日发布了《企业会计准则解释第16号》（以下简称“解释16号”）。解释16号对企业单项交易产生的资产和负债相关的递延所得税初始确认的相关会计政策进行变更，本公司自2023年1月1日起施行。根据解释16号的规定，企业将单项交易产生的资产和负债相关的递延所得税不适用初始确认豁免的，应当按照《企业会计准则第18号——所得税》规定，对该交易因资产和负债的初始确认所产生的应纳税暂时性差异和可抵扣暂时性差异，在交易发生时分别确认相应的递延所得税负债和递延所得税资产。按照解释16号的规定，公司对2022年度的财务报表进行了追溯调整。</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根据解释16号规定，本公司对2022年12月31日资产负债表项目追溯调整如下：</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1.递延所得税资产追溯调整前89,826,980.23元，追溯调整后 282,808,172.14元；</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2.递延所得税负债追溯调整前153,831,550.83元，追溯调整后 340,886,533.68元；</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3.未分配利润追溯调整前1,235,240,245.40元，追溯调整后 1,240,853,249.15元；</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4.少数股东权益追溯调整前8,765,991,931.59元，追溯调整后 8,766,305,136.90元。</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本公司对2023年9月30日利润表项目追溯调整如下：</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1.所得税费用追溯调整前200,092,926.12元，追溯调整后197,766,352.78元；</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2.净利润追溯调整前1,189,954,888.50元，追溯调整后1,192,281,461.84元；</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3.归属于母公司所有者的净利润追溯调整前821,640,493.14元，追溯调整后823,842,431.34元；</w:t>
      </w:r>
    </w:p>
    <w:p>
      <w:pPr>
        <w:pStyle w:val="4"/>
        <w:keepNext w:val="0"/>
        <w:keepLines w:val="0"/>
        <w:widowControl/>
        <w:suppressLineNumbers w:val="0"/>
        <w:spacing w:before="40" w:beforeAutospacing="0" w:after="40" w:afterAutospacing="0" w:line="240" w:lineRule="atLeast"/>
        <w:rPr>
          <w:rFonts w:hint="eastAsia" w:ascii="仿宋" w:hAnsi="仿宋" w:eastAsia="仿宋" w:cs="仿宋"/>
          <w:sz w:val="18"/>
          <w:szCs w:val="18"/>
        </w:rPr>
      </w:pPr>
      <w:r>
        <w:rPr>
          <w:rFonts w:hint="eastAsia" w:ascii="仿宋" w:hAnsi="仿宋" w:eastAsia="仿宋" w:cs="仿宋"/>
          <w:sz w:val="18"/>
          <w:szCs w:val="18"/>
        </w:rPr>
        <w:t>4.少数股东损益追溯调整前368,314,395.36元，追溯调整后368,439,030.50元。</w:t>
      </w:r>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仿宋" w:hAnsi="仿宋" w:eastAsia="仿宋" w:cs="仿宋"/>
          <w:b/>
          <w:bCs/>
          <w:sz w:val="28"/>
          <w:szCs w:val="28"/>
        </w:rPr>
      </w:pPr>
      <w:bookmarkStart w:id="1" w:name="_Toc988891"/>
      <w:r>
        <w:rPr>
          <w:rFonts w:hint="eastAsia" w:ascii="仿宋" w:hAnsi="仿宋" w:eastAsia="仿宋" w:cs="仿宋"/>
          <w:b/>
          <w:bCs/>
          <w:sz w:val="28"/>
          <w:szCs w:val="28"/>
        </w:rPr>
        <w:t>（二） 非经常性损益项目和金额</w:t>
      </w:r>
      <w:bookmarkEnd w:id="1"/>
    </w:p>
    <w:p>
      <w:pPr>
        <w:pageBreakBefore w:val="0"/>
        <w:widowControl w:val="0"/>
        <w:kinsoku/>
        <w:wordWrap/>
        <w:overflowPunct/>
        <w:topLinePunct w:val="0"/>
        <w:autoSpaceDE/>
        <w:autoSpaceDN/>
        <w:bidi w:val="0"/>
        <w:adjustRightInd/>
        <w:snapToGrid/>
        <w:spacing w:line="600" w:lineRule="exact"/>
        <w:ind w:firstLine="280" w:firstLineChars="100"/>
        <w:jc w:val="left"/>
        <w:textAlignment w:val="auto"/>
        <w:rPr>
          <w:rFonts w:hint="eastAsia" w:ascii="仿宋" w:hAnsi="仿宋" w:eastAsia="仿宋" w:cs="仿宋"/>
          <w:sz w:val="28"/>
          <w:szCs w:val="28"/>
        </w:rPr>
      </w:pPr>
      <w:r>
        <w:rPr>
          <w:rFonts w:hint="eastAsia" w:ascii="仿宋" w:hAnsi="仿宋" w:eastAsia="仿宋" w:cs="仿宋"/>
          <w:sz w:val="28"/>
          <w:szCs w:val="28"/>
        </w:rPr>
        <w:sym w:font="Wingdings 2" w:char="F052"/>
      </w:r>
      <w:r>
        <w:rPr>
          <w:rFonts w:hint="eastAsia" w:ascii="仿宋" w:hAnsi="仿宋" w:eastAsia="仿宋" w:cs="仿宋"/>
          <w:sz w:val="28"/>
          <w:szCs w:val="28"/>
        </w:rPr>
        <w:t>适用 □不适用</w:t>
      </w:r>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5"/>
        <w:tblW w:w="96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10"/>
        <w:gridCol w:w="2410"/>
        <w:gridCol w:w="2410"/>
        <w:gridCol w:w="2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本报告期金额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年初至报告期期末金额</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非流动资产处置损益（包括已计提资产减值准备的冲销部分）</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-34,564.10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513,441.72</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主要系报告期本公司处置资产影响。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计入当期损益的政府补助（与公司正常经营业务密切相关，符合国家政策规定、按照一定标准定额或定量持续享受的政府补助除外）</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7,071,337.20</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12,326,502.05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主要系报告期本公司收到政府补贴、补助影响。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计入当期损益的对非金融企业收取的资金占用费</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1,118,972.75</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主要系报告期本公司收到寿光市文化发展有限公司支付的资金占用费影响。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除上述各项之外的其他营业外收入和支出</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-963,336.64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43,748,262.24</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主要系报告期吉林里程协合风力发电有限公司收到法院判决的赔偿款影响。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其他符合非经常性损益定义的损益项目</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172,506.67</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728,480.73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主要系报告期个税手续费返还影响。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减：所得税影响额</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93,362.43</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1,453,631.79</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少数股东权益影响额（税后）</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-3,371.01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20,863,021.11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合计</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6,155,951.71</w:t>
            </w:r>
          </w:p>
        </w:tc>
        <w:tc>
          <w:tcPr>
            <w:tcW w:w="2410"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36,119,006.59</w:t>
            </w:r>
          </w:p>
        </w:tc>
        <w:tc>
          <w:tcPr>
            <w:tcW w:w="2410"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center"/>
              <w:rPr>
                <w:rFonts w:ascii="宋体" w:hAnsi="宋体" w:eastAsia="宋体" w:cs="宋体"/>
                <w:sz w:val="18"/>
                <w:szCs w:val="18"/>
              </w:rPr>
            </w:pPr>
            <w:r>
              <w:rPr>
                <w:rFonts w:ascii="宋体" w:hAnsi="宋体" w:eastAsia="宋体" w:cs="宋体"/>
                <w:sz w:val="18"/>
                <w:szCs w:val="18"/>
              </w:rPr>
              <w:t>--</w:t>
            </w:r>
          </w:p>
        </w:tc>
      </w:tr>
    </w:tbl>
    <w:p>
      <w:pPr>
        <w:spacing w:before="0" w:after="0" w:line="240" w:lineRule="exact"/>
        <w:jc w:val="left"/>
        <w:rPr>
          <w:rFonts w:hint="eastAsia" w:ascii="仿宋" w:hAnsi="仿宋" w:eastAsia="仿宋" w:cs="仿宋"/>
          <w:sz w:val="18"/>
          <w:szCs w:val="18"/>
        </w:rPr>
      </w:pPr>
      <w:r>
        <w:rPr>
          <w:rFonts w:hint="eastAsia" w:ascii="仿宋" w:hAnsi="仿宋" w:eastAsia="仿宋" w:cs="仿宋"/>
          <w:sz w:val="18"/>
          <w:szCs w:val="18"/>
        </w:rPr>
        <w:t>其他符合非经常性损益定义的损益项目的具体情况：</w:t>
      </w:r>
    </w:p>
    <w:p>
      <w:pPr>
        <w:spacing w:before="100" w:after="100" w:line="240" w:lineRule="exact"/>
        <w:jc w:val="left"/>
        <w:rPr>
          <w:rFonts w:hint="eastAsia" w:ascii="仿宋" w:hAnsi="仿宋" w:eastAsia="仿宋" w:cs="仿宋"/>
          <w:sz w:val="18"/>
          <w:szCs w:val="18"/>
        </w:rPr>
      </w:pPr>
      <w:r>
        <w:rPr>
          <w:rFonts w:hint="eastAsia" w:ascii="仿宋" w:hAnsi="仿宋" w:eastAsia="仿宋" w:cs="仿宋"/>
          <w:sz w:val="18"/>
          <w:szCs w:val="18"/>
        </w:rPr>
        <w:t xml:space="preserve">□适用 </w:t>
      </w:r>
      <w:r>
        <w:rPr>
          <w:rFonts w:hint="eastAsia" w:ascii="仿宋" w:hAnsi="仿宋" w:eastAsia="仿宋" w:cs="仿宋"/>
          <w:sz w:val="18"/>
          <w:szCs w:val="18"/>
        </w:rPr>
        <w:sym w:font="Wingdings 2" w:char="F052"/>
      </w:r>
      <w:r>
        <w:rPr>
          <w:rFonts w:hint="eastAsia" w:ascii="仿宋" w:hAnsi="仿宋" w:eastAsia="仿宋" w:cs="仿宋"/>
          <w:sz w:val="18"/>
          <w:szCs w:val="18"/>
        </w:rPr>
        <w:t>不适用</w:t>
      </w:r>
    </w:p>
    <w:p>
      <w:pPr>
        <w:spacing w:before="40" w:after="40" w:line="240" w:lineRule="exact"/>
        <w:jc w:val="left"/>
        <w:rPr>
          <w:rFonts w:hint="eastAsia" w:ascii="仿宋" w:hAnsi="仿宋" w:eastAsia="仿宋" w:cs="仿宋"/>
          <w:sz w:val="18"/>
          <w:szCs w:val="18"/>
        </w:rPr>
      </w:pPr>
      <w:r>
        <w:rPr>
          <w:rFonts w:hint="eastAsia" w:ascii="仿宋" w:hAnsi="仿宋" w:eastAsia="仿宋" w:cs="仿宋"/>
          <w:sz w:val="18"/>
          <w:szCs w:val="18"/>
        </w:rPr>
        <w:t>公司不存在其他符合非经常性损益定义的损益项目的具体情况。</w:t>
      </w:r>
    </w:p>
    <w:p>
      <w:pPr>
        <w:spacing w:before="40" w:after="40" w:line="240" w:lineRule="exact"/>
        <w:jc w:val="left"/>
        <w:rPr>
          <w:rFonts w:hint="eastAsia" w:ascii="仿宋" w:hAnsi="仿宋" w:eastAsia="仿宋" w:cs="仿宋"/>
          <w:sz w:val="18"/>
          <w:szCs w:val="18"/>
        </w:rPr>
      </w:pPr>
      <w:r>
        <w:rPr>
          <w:rFonts w:hint="eastAsia" w:ascii="仿宋" w:hAnsi="仿宋" w:eastAsia="仿宋" w:cs="仿宋"/>
          <w:sz w:val="18"/>
          <w:szCs w:val="18"/>
        </w:rPr>
        <w:t>将《公开发行证券的公司信息披露解释性公告第1号——非经常性损益》中列举的非经常性损益项目界定为经常性损益项目的情况说明
</w:t>
      </w:r>
    </w:p>
    <w:p>
      <w:pPr>
        <w:spacing w:before="100" w:after="100" w:line="240" w:lineRule="exact"/>
        <w:jc w:val="left"/>
        <w:rPr>
          <w:rFonts w:hint="eastAsia" w:ascii="仿宋" w:hAnsi="仿宋" w:eastAsia="仿宋" w:cs="仿宋"/>
          <w:sz w:val="18"/>
          <w:szCs w:val="18"/>
        </w:rPr>
      </w:pPr>
      <w:r>
        <w:rPr>
          <w:rFonts w:hint="eastAsia" w:ascii="仿宋" w:hAnsi="仿宋" w:eastAsia="仿宋" w:cs="仿宋"/>
          <w:sz w:val="18"/>
          <w:szCs w:val="18"/>
        </w:rPr>
        <w:t xml:space="preserve">□适用 </w:t>
      </w:r>
      <w:r>
        <w:rPr>
          <w:rFonts w:hint="eastAsia" w:ascii="仿宋" w:hAnsi="仿宋" w:eastAsia="仿宋" w:cs="仿宋"/>
          <w:sz w:val="18"/>
          <w:szCs w:val="18"/>
        </w:rPr>
        <w:sym w:font="Wingdings 2" w:char="F052"/>
      </w:r>
      <w:r>
        <w:rPr>
          <w:rFonts w:hint="eastAsia" w:ascii="仿宋" w:hAnsi="仿宋" w:eastAsia="仿宋" w:cs="仿宋"/>
          <w:sz w:val="18"/>
          <w:szCs w:val="18"/>
        </w:rPr>
        <w:t>不适用</w:t>
      </w:r>
    </w:p>
    <w:p>
      <w:pPr>
        <w:spacing w:before="100" w:after="100" w:line="240" w:lineRule="exact"/>
        <w:jc w:val="left"/>
        <w:rPr>
          <w:rFonts w:hint="eastAsia" w:ascii="仿宋" w:hAnsi="仿宋" w:eastAsia="仿宋" w:cs="仿宋"/>
          <w:sz w:val="18"/>
          <w:szCs w:val="18"/>
        </w:rPr>
      </w:pPr>
      <w:r>
        <w:rPr>
          <w:rFonts w:hint="eastAsia" w:ascii="仿宋" w:hAnsi="仿宋" w:eastAsia="仿宋" w:cs="仿宋"/>
          <w:sz w:val="18"/>
          <w:szCs w:val="18"/>
        </w:rPr>
        <w:t>公司不存在将《公开发行证券的公司信息披露解释性公告第1号——非经常性损益》中列举的非经常性损益项目界定为经常性损益的项目的情形。</w:t>
      </w:r>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仿宋" w:hAnsi="仿宋" w:eastAsia="仿宋" w:cs="仿宋"/>
          <w:b/>
          <w:bCs/>
          <w:sz w:val="28"/>
          <w:szCs w:val="28"/>
        </w:rPr>
      </w:pPr>
      <w:bookmarkStart w:id="2" w:name="_Toc988892"/>
      <w:r>
        <w:rPr>
          <w:rFonts w:hint="eastAsia" w:ascii="仿宋" w:hAnsi="仿宋" w:eastAsia="仿宋" w:cs="仿宋"/>
          <w:b/>
          <w:bCs/>
          <w:sz w:val="28"/>
          <w:szCs w:val="28"/>
        </w:rPr>
        <w:t>（三） 主要会计数据和财务指标发生变动的情况及原因</w:t>
      </w:r>
      <w:bookmarkEnd w:id="2"/>
    </w:p>
    <w:p>
      <w:pPr>
        <w:pageBreakBefore w:val="0"/>
        <w:widowControl w:val="0"/>
        <w:kinsoku/>
        <w:wordWrap/>
        <w:overflowPunct/>
        <w:topLinePunct w:val="0"/>
        <w:autoSpaceDE/>
        <w:autoSpaceDN/>
        <w:bidi w:val="0"/>
        <w:adjustRightInd/>
        <w:snapToGrid/>
        <w:spacing w:line="600" w:lineRule="exact"/>
        <w:jc w:val="left"/>
        <w:textAlignment w:val="auto"/>
        <w:rPr>
          <w:rFonts w:ascii="宋体" w:hAnsi="宋体" w:eastAsia="宋体" w:cs="宋体"/>
          <w:sz w:val="18"/>
          <w:szCs w:val="18"/>
        </w:rPr>
      </w:pPr>
      <w:r>
        <w:rPr>
          <w:rFonts w:ascii="宋体" w:hAnsi="宋体" w:eastAsia="宋体" w:cs="宋体"/>
          <w:sz w:val="18"/>
          <w:szCs w:val="18"/>
        </w:rPr>
        <w:sym w:font="Wingdings 2" w:char="F052"/>
      </w:r>
      <w:r>
        <w:rPr>
          <w:rFonts w:ascii="宋体" w:hAnsi="宋体" w:eastAsia="宋体" w:cs="宋体"/>
          <w:sz w:val="18"/>
          <w:szCs w:val="18"/>
        </w:rPr>
        <w:t>适用 □不适用</w:t>
      </w:r>
    </w:p>
    <w:tbl>
      <w:tblPr>
        <w:tblStyle w:val="5"/>
        <w:tblW w:w="10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6"/>
        <w:gridCol w:w="1730"/>
        <w:gridCol w:w="1930"/>
        <w:gridCol w:w="1251"/>
        <w:gridCol w:w="3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single" w:color="auto" w:sz="8" w:space="0"/>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资产负债表项目</w:t>
            </w:r>
          </w:p>
        </w:tc>
        <w:tc>
          <w:tcPr>
            <w:tcW w:w="1730" w:type="dxa"/>
            <w:tcBorders>
              <w:top w:val="single" w:color="auto" w:sz="8" w:space="0"/>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2023年9月30日余额</w:t>
            </w:r>
          </w:p>
        </w:tc>
        <w:tc>
          <w:tcPr>
            <w:tcW w:w="1930" w:type="dxa"/>
            <w:tcBorders>
              <w:top w:val="single" w:color="auto" w:sz="8" w:space="0"/>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202</w:t>
            </w:r>
            <w:r>
              <w:rPr>
                <w:rFonts w:hint="eastAsia" w:ascii="宋体" w:hAnsi="宋体" w:cs="宋体"/>
                <w:b/>
                <w:i w:val="0"/>
                <w:color w:val="000000"/>
                <w:sz w:val="15"/>
                <w:szCs w:val="15"/>
                <w:lang w:val="en-US" w:eastAsia="zh-CN"/>
              </w:rPr>
              <w:t>3</w:t>
            </w:r>
            <w:r>
              <w:rPr>
                <w:rFonts w:hint="eastAsia" w:ascii="宋体" w:hAnsi="宋体" w:eastAsia="宋体" w:cs="宋体"/>
                <w:b/>
                <w:i w:val="0"/>
                <w:color w:val="000000"/>
                <w:sz w:val="15"/>
                <w:szCs w:val="15"/>
              </w:rPr>
              <w:t>年1月</w:t>
            </w:r>
            <w:r>
              <w:rPr>
                <w:rFonts w:hint="eastAsia" w:ascii="宋体" w:hAnsi="宋体" w:cs="宋体"/>
                <w:b/>
                <w:i w:val="0"/>
                <w:color w:val="000000"/>
                <w:sz w:val="15"/>
                <w:szCs w:val="15"/>
                <w:lang w:val="en-US" w:eastAsia="zh-CN"/>
              </w:rPr>
              <w:t>1</w:t>
            </w:r>
            <w:r>
              <w:rPr>
                <w:rFonts w:hint="eastAsia" w:ascii="宋体" w:hAnsi="宋体" w:eastAsia="宋体" w:cs="宋体"/>
                <w:b/>
                <w:i w:val="0"/>
                <w:color w:val="000000"/>
                <w:sz w:val="15"/>
                <w:szCs w:val="15"/>
              </w:rPr>
              <w:t>日余额</w:t>
            </w:r>
          </w:p>
        </w:tc>
        <w:tc>
          <w:tcPr>
            <w:tcW w:w="1251" w:type="dxa"/>
            <w:tcBorders>
              <w:top w:val="single" w:color="auto" w:sz="8" w:space="0"/>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变动比例</w:t>
            </w:r>
          </w:p>
        </w:tc>
        <w:tc>
          <w:tcPr>
            <w:tcW w:w="3820" w:type="dxa"/>
            <w:tcBorders>
              <w:top w:val="single" w:color="auto" w:sz="8" w:space="0"/>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应收票据</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99,239,762.88</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73,243,507.81</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35.49%</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主要系银行承兑汇票未到期影响。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其他非流动资产</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2,307,169,693.96</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1,611,009,075.40</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43.21%</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主要系预付工程设备款增加影响。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合同负债</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154,811,496.54</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366,709,469.99</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-57.78%</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主要系预收热费减少影响。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应付职工薪酬</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77,528,082.66</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22,626,716.89</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242.64%</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主要系预提人工成本增加影响。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其他流动负债</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20,383,227.04</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30,693,215.71</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-33.59%</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主要系预收热费确认收入影响。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应付债券</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3,042,074,464.10</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2,028,496,107.45</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49.97%</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主要系发行债券影响。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长期应付款</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1,472,192,342.41</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2,108,557,237.50</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-30.18%</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主要系偿还融资租赁款影响。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专项储备</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69,908,912.52</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6,441,578.51</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985.28%</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主要系计提安全生产费影响。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未分配利润</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1,905,531,515.27</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1,240,853,249.15</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53.57%</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主要系利润增长影响。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利润表项目</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2023年1-9月发生额</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2022年1-9月发生额</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变动比例</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研发费用</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24,806,493.56</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16,677,555.04</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48.74%</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主要系科技研发投入增加影响。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其他收益</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74,123,880.43</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56,954,772.51</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30.15%</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主要系收到增值税返还及政府补助增加影响。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营业外收入</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56,161,649.17</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5,540,816.82</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913.60%</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主要系报告期吉林里程协合风力发电有限公司收到</w:t>
            </w:r>
            <w:r>
              <w:rPr>
                <w:rFonts w:hint="eastAsia" w:ascii="宋体" w:hAnsi="宋体" w:eastAsia="宋体" w:cs="宋体"/>
                <w:i w:val="0"/>
                <w:color w:val="000000"/>
                <w:sz w:val="15"/>
                <w:szCs w:val="15"/>
              </w:rPr>
              <w:br w:type="textWrapping"/>
            </w:r>
            <w:r>
              <w:rPr>
                <w:rFonts w:hint="eastAsia" w:ascii="宋体" w:hAnsi="宋体" w:eastAsia="宋体" w:cs="宋体"/>
                <w:i w:val="0"/>
                <w:color w:val="000000"/>
                <w:sz w:val="15"/>
                <w:szCs w:val="15"/>
              </w:rPr>
              <w:t>法院判决款影响。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所得税费用</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292,043,527.33</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197,766,352.78</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47.67%</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主要系部分新能源项目所得税优惠政策到期影响。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少数股东损益</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567,917,626.94</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368,439,030.50</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54.14%</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主要系报告期归属于少数股东的净利润增加影响。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现金流量表项目</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2023年1-9月发生额</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2022年1-9月发生额</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变动比例</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center"/>
              <w:textAlignment w:val="bottom"/>
              <w:rPr>
                <w:rFonts w:hint="default" w:ascii="Times New Roman" w:hAnsi="Times New Roman" w:cs="Times New Roman"/>
                <w:sz w:val="24"/>
                <w:szCs w:val="24"/>
              </w:rPr>
            </w:pPr>
            <w:r>
              <w:rPr>
                <w:rFonts w:hint="eastAsia" w:ascii="宋体" w:hAnsi="宋体" w:eastAsia="宋体" w:cs="宋体"/>
                <w:b/>
                <w:i w:val="0"/>
                <w:color w:val="000000"/>
                <w:sz w:val="15"/>
                <w:szCs w:val="15"/>
              </w:rPr>
              <w:t>变动原因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经营活动产生的现金流量净额</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color w:val="000000"/>
                <w:sz w:val="15"/>
                <w:szCs w:val="15"/>
              </w:rPr>
              <w:t>3,379,436,709.52</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5,793,806,387.34</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color w:val="000000"/>
                <w:sz w:val="15"/>
                <w:szCs w:val="15"/>
              </w:rPr>
              <w:t>-41.67%</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主要系报告期可再生能源补贴回款与增值税留抵退税回款减少影响。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筹资活动产生的现金流量净额</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color w:val="000000"/>
                <w:sz w:val="15"/>
                <w:szCs w:val="15"/>
              </w:rPr>
              <w:t>899,452,780.75</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655,612,476.18</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rPr>
                <w:rFonts w:hint="default" w:ascii="Times New Roman" w:hAnsi="Times New Roman" w:cs="Times New Roman"/>
                <w:sz w:val="24"/>
                <w:szCs w:val="24"/>
              </w:rPr>
            </w:pPr>
            <w:r>
              <w:rPr>
                <w:rFonts w:hint="eastAsia" w:ascii="宋体" w:hAnsi="宋体" w:eastAsia="宋体" w:cs="宋体"/>
                <w:color w:val="000000"/>
                <w:sz w:val="15"/>
                <w:szCs w:val="15"/>
              </w:rPr>
              <w:t>37.19%</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both"/>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主要系报告期发行债券影响。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 w:hRule="atLeast"/>
        </w:trPr>
        <w:tc>
          <w:tcPr>
            <w:tcW w:w="1516" w:type="dxa"/>
            <w:tcBorders>
              <w:top w:val="nil"/>
              <w:left w:val="single" w:color="auto" w:sz="8" w:space="0"/>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现金及现金等价物净增加额</w:t>
            </w:r>
          </w:p>
        </w:tc>
        <w:tc>
          <w:tcPr>
            <w:tcW w:w="17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1,258,058,160.80</w:t>
            </w:r>
          </w:p>
        </w:tc>
        <w:tc>
          <w:tcPr>
            <w:tcW w:w="193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876,808,874.83</w:t>
            </w:r>
          </w:p>
        </w:tc>
        <w:tc>
          <w:tcPr>
            <w:tcW w:w="1251"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righ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43.48%</w:t>
            </w:r>
          </w:p>
        </w:tc>
        <w:tc>
          <w:tcPr>
            <w:tcW w:w="3820" w:type="dxa"/>
            <w:tcBorders>
              <w:top w:val="nil"/>
              <w:left w:val="nil"/>
              <w:bottom w:val="single" w:color="auto" w:sz="8" w:space="0"/>
              <w:right w:val="single" w:color="auto" w:sz="8" w:space="0"/>
            </w:tcBorders>
            <w:shd w:val="clear" w:color="auto" w:fill="auto"/>
            <w:noWrap/>
            <w:tcMar>
              <w:top w:w="12" w:type="dxa"/>
              <w:left w:w="12" w:type="dxa"/>
              <w:bottom w:w="0" w:type="dxa"/>
              <w:right w:w="12" w:type="dxa"/>
            </w:tcMar>
            <w:vAlign w:val="bottom"/>
          </w:tcPr>
          <w:p>
            <w:pPr>
              <w:pStyle w:val="4"/>
              <w:keepNext w:val="0"/>
              <w:keepLines w:val="0"/>
              <w:widowControl/>
              <w:suppressLineNumbers w:val="0"/>
              <w:spacing w:before="0" w:beforeAutospacing="0" w:after="0" w:afterAutospacing="0"/>
              <w:ind w:left="0" w:right="0"/>
              <w:jc w:val="left"/>
              <w:textAlignment w:val="bottom"/>
              <w:rPr>
                <w:rFonts w:hint="default" w:ascii="Times New Roman" w:hAnsi="Times New Roman" w:cs="Times New Roman"/>
                <w:sz w:val="24"/>
                <w:szCs w:val="24"/>
              </w:rPr>
            </w:pPr>
            <w:r>
              <w:rPr>
                <w:rFonts w:hint="eastAsia" w:ascii="宋体" w:hAnsi="宋体" w:eastAsia="宋体" w:cs="宋体"/>
                <w:i w:val="0"/>
                <w:color w:val="000000"/>
                <w:sz w:val="15"/>
                <w:szCs w:val="15"/>
              </w:rPr>
              <w:t>经营活动、投资活动、筹资活动综合影响所致。</w:t>
            </w:r>
          </w:p>
        </w:tc>
      </w:tr>
    </w:tbl>
    <w:p>
      <w:pPr>
        <w:keepNext/>
        <w:keepLines/>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仿宋" w:hAnsi="仿宋" w:eastAsia="仿宋" w:cs="仿宋"/>
          <w:b/>
          <w:bCs/>
          <w:sz w:val="28"/>
          <w:szCs w:val="28"/>
        </w:rPr>
      </w:pPr>
      <w:bookmarkStart w:id="3" w:name="_Toc988893"/>
      <w:r>
        <w:rPr>
          <w:rFonts w:hint="eastAsia" w:ascii="仿宋" w:hAnsi="仿宋" w:eastAsia="仿宋" w:cs="仿宋"/>
          <w:b/>
          <w:bCs/>
          <w:sz w:val="28"/>
          <w:szCs w:val="28"/>
        </w:rPr>
        <w:t>二、股东信息</w:t>
      </w:r>
      <w:bookmarkEnd w:id="3"/>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仿宋" w:hAnsi="仿宋" w:eastAsia="仿宋" w:cs="仿宋"/>
          <w:b/>
          <w:bCs/>
          <w:sz w:val="28"/>
          <w:szCs w:val="28"/>
        </w:rPr>
      </w:pPr>
      <w:bookmarkStart w:id="4" w:name="_Toc988894"/>
      <w:r>
        <w:rPr>
          <w:rFonts w:hint="eastAsia" w:ascii="仿宋" w:hAnsi="仿宋" w:eastAsia="仿宋" w:cs="仿宋"/>
          <w:b/>
          <w:bCs/>
          <w:sz w:val="28"/>
          <w:szCs w:val="28"/>
        </w:rPr>
        <w:t>（一） 普通股股东总数和表决权恢复的优先股股东数量及前十名股东持股情况表</w:t>
      </w:r>
      <w:bookmarkEnd w:id="4"/>
    </w:p>
    <w:p>
      <w:pPr>
        <w:spacing w:before="40" w:after="40" w:line="240" w:lineRule="exact"/>
        <w:jc w:val="right"/>
        <w:rPr>
          <w:rFonts w:ascii="宋体" w:hAnsi="宋体" w:eastAsia="宋体" w:cs="宋体"/>
          <w:sz w:val="18"/>
          <w:szCs w:val="18"/>
        </w:rPr>
      </w:pPr>
      <w:r>
        <w:rPr>
          <w:rFonts w:ascii="宋体" w:hAnsi="宋体" w:eastAsia="宋体" w:cs="宋体"/>
          <w:sz w:val="18"/>
          <w:szCs w:val="18"/>
        </w:rPr>
        <w:t>单位：股</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报告期末普通股股东总数</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171,606</w:t>
            </w:r>
          </w:p>
        </w:tc>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报告期末表决权恢复的优先股股东总数（如有）</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前10名股东持股情况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股东性质</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持股比例</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持股数量</w:t>
            </w:r>
          </w:p>
        </w:tc>
        <w:tc>
          <w:tcPr>
            <w:tcW w:w="1377"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持有有限售条件的股份数量</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质押、标记或冻结情况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股份状态</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730,872,327</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309,877,699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国家电投集团财务有限公司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境内非国有法人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34,482,758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1.06%</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国有法人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0.88%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0.79%</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22,170,354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其他</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16,085,051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境外法人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15,174,893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林文新</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境内自然人</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0.32%</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8,992,400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639" w:type="dxa"/>
            <w:gridSpan w:val="7"/>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前10名无限售条件股东持股情况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股东名称</w:t>
            </w:r>
          </w:p>
        </w:tc>
        <w:tc>
          <w:tcPr>
            <w:tcW w:w="4131" w:type="dxa"/>
            <w:gridSpan w:val="3"/>
            <w:vMerge w:val="restart"/>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持有无限售条件股份数量</w:t>
            </w:r>
          </w:p>
        </w:tc>
        <w:tc>
          <w:tcPr>
            <w:tcW w:w="2754" w:type="dxa"/>
            <w:gridSpan w:val="2"/>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股份种类及数量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4131" w:type="dxa"/>
            <w:gridSpan w:val="3"/>
            <w:vMerge w:val="continue"/>
            <w:tcBorders>
              <w:top w:val="single" w:color="auto" w:sz="2" w:space="0"/>
              <w:left w:val="single" w:color="auto" w:sz="2" w:space="0"/>
              <w:bottom w:val="single" w:color="auto" w:sz="2" w:space="0"/>
              <w:right w:val="single" w:color="auto" w:sz="2" w:space="0"/>
            </w:tcBorders>
            <w:shd w:val="clear" w:color="auto" w:fill="D3D3D3"/>
            <w:vAlign w:val="center"/>
          </w:tcP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股份种类</w:t>
            </w:r>
          </w:p>
        </w:tc>
        <w:tc>
          <w:tcPr>
            <w:tcW w:w="1377"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国家电投集团吉林能源投资有限公司</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420,994,628</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420,994,628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国家电力投资集团有限公司</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158,884,995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吉林省投资集团有限公司</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29,700,000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中国电能成套设备有限公司</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24,430,700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中国银行股份有限公司-华泰柏瑞中证光伏产业交易型开放式指数证券投资基金</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22,170,354</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22,170,354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中信建投证券股份有限公司-天弘中证光伏产业指数型发起式证券投资基金</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16,085,051</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16,085,051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香港中央结算有限公司</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15,174,893</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15,174,893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郑捷文</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10,471,475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林文新</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8,992,400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8,992,400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2754" w:type="dxa"/>
            <w:gridSpan w:val="2"/>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李明东</w:t>
            </w:r>
          </w:p>
        </w:tc>
        <w:tc>
          <w:tcPr>
            <w:tcW w:w="4131" w:type="dxa"/>
            <w:gridSpan w:val="3"/>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8,500,000</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人民币普通股</w:t>
            </w:r>
          </w:p>
        </w:tc>
        <w:tc>
          <w:tcPr>
            <w:tcW w:w="1377"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8,500,000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上述股东关联关系或一致行动的说明</w:t>
            </w:r>
          </w:p>
        </w:tc>
        <w:tc>
          <w:tcPr>
            <w:tcW w:w="5508"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1.吉林能投、国家电投、</w:t>
            </w:r>
            <w:r>
              <w:rPr>
                <w:rFonts w:hint="eastAsia" w:ascii="宋体" w:hAnsi="宋体" w:eastAsia="宋体" w:cs="宋体"/>
                <w:sz w:val="18"/>
                <w:szCs w:val="18"/>
                <w:lang w:val="en-US" w:eastAsia="zh-CN"/>
              </w:rPr>
              <w:t>财务公司、</w:t>
            </w:r>
            <w:r>
              <w:rPr>
                <w:rFonts w:ascii="宋体" w:hAnsi="宋体" w:eastAsia="宋体" w:cs="宋体"/>
                <w:sz w:val="18"/>
                <w:szCs w:val="18"/>
              </w:rPr>
              <w:t>成套公司之间存在关联关系，属于《上市公司收购管理办法》规定的一致行动人。2.除此之外，未知其他股东之间是否存在关联关系，也未知是否属于《上市公司收购管理办法》规定的一致行动人。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4131"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前10名股东参与融资融券业务情况说明（如有）</w:t>
            </w:r>
          </w:p>
        </w:tc>
        <w:tc>
          <w:tcPr>
            <w:tcW w:w="5508" w:type="dxa"/>
            <w:gridSpan w:val="4"/>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1.前10名无限售流通股东郑捷文通过信用帐户持有本公司股份10,471,475股。</w:t>
            </w:r>
          </w:p>
          <w:p>
            <w:pPr>
              <w:spacing w:before="0" w:after="0" w:line="240" w:lineRule="exact"/>
              <w:jc w:val="left"/>
              <w:rPr>
                <w:rFonts w:ascii="宋体" w:hAnsi="宋体" w:eastAsia="宋体" w:cs="宋体"/>
                <w:sz w:val="18"/>
                <w:szCs w:val="18"/>
              </w:rPr>
            </w:pPr>
            <w:r>
              <w:rPr>
                <w:rFonts w:ascii="宋体" w:hAnsi="宋体" w:eastAsia="宋体" w:cs="宋体"/>
                <w:sz w:val="18"/>
                <w:szCs w:val="18"/>
              </w:rPr>
              <w:t>2.前10名无限售流通股东林文新通过信用帐户持有本公司股份3,023,974股，通过普通证券帐户持有公司股份5,968,426股，合计持有本公司股份8,992,400股。</w:t>
            </w:r>
          </w:p>
          <w:p>
            <w:pPr>
              <w:spacing w:before="0" w:after="0" w:line="240" w:lineRule="exact"/>
              <w:jc w:val="left"/>
              <w:rPr>
                <w:rFonts w:ascii="宋体" w:hAnsi="宋体" w:eastAsia="宋体" w:cs="宋体"/>
                <w:sz w:val="18"/>
                <w:szCs w:val="18"/>
              </w:rPr>
            </w:pPr>
            <w:r>
              <w:rPr>
                <w:rFonts w:ascii="宋体" w:hAnsi="宋体" w:eastAsia="宋体" w:cs="宋体"/>
                <w:sz w:val="18"/>
                <w:szCs w:val="18"/>
              </w:rPr>
              <w:t>3.前10名无限售流通股东李明东通过信用帐户持有本公司股份8,500,000股。</w:t>
            </w:r>
          </w:p>
        </w:tc>
      </w:tr>
    </w:tbl>
    <w:p>
      <w:pPr>
        <w:keepNext/>
        <w:keepLines/>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仿宋" w:hAnsi="仿宋" w:eastAsia="仿宋" w:cs="仿宋"/>
          <w:b/>
          <w:bCs/>
          <w:sz w:val="28"/>
          <w:szCs w:val="28"/>
        </w:rPr>
      </w:pPr>
      <w:bookmarkStart w:id="5" w:name="_Toc988895"/>
      <w:r>
        <w:rPr>
          <w:rFonts w:hint="eastAsia" w:ascii="仿宋" w:hAnsi="仿宋" w:eastAsia="仿宋" w:cs="仿宋"/>
          <w:b/>
          <w:bCs/>
          <w:sz w:val="28"/>
          <w:szCs w:val="28"/>
        </w:rPr>
        <w:t>（二） 公司优先股股东总数及前10名优先股股东持股情况表</w:t>
      </w:r>
      <w:bookmarkEnd w:id="5"/>
    </w:p>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□适用 </w:t>
      </w:r>
      <w:r>
        <w:rPr>
          <w:rFonts w:hint="eastAsia" w:ascii="仿宋" w:hAnsi="仿宋" w:eastAsia="仿宋" w:cs="仿宋"/>
          <w:sz w:val="28"/>
          <w:szCs w:val="28"/>
        </w:rPr>
        <w:sym w:font="Wingdings 2" w:char="F052"/>
      </w:r>
      <w:r>
        <w:rPr>
          <w:rFonts w:hint="eastAsia" w:ascii="仿宋" w:hAnsi="仿宋" w:eastAsia="仿宋" w:cs="仿宋"/>
          <w:sz w:val="28"/>
          <w:szCs w:val="28"/>
        </w:rPr>
        <w:t>不适用</w:t>
      </w:r>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仿宋" w:hAnsi="仿宋" w:eastAsia="仿宋" w:cs="仿宋"/>
          <w:b/>
          <w:bCs/>
          <w:sz w:val="28"/>
          <w:szCs w:val="28"/>
        </w:rPr>
      </w:pPr>
      <w:bookmarkStart w:id="6" w:name="_Toc988896"/>
      <w:r>
        <w:rPr>
          <w:rFonts w:hint="eastAsia" w:ascii="仿宋" w:hAnsi="仿宋" w:eastAsia="仿宋" w:cs="仿宋"/>
          <w:b/>
          <w:bCs/>
          <w:sz w:val="28"/>
          <w:szCs w:val="28"/>
        </w:rPr>
        <w:t>三、其他重要事项</w:t>
      </w:r>
      <w:bookmarkEnd w:id="6"/>
    </w:p>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□适用 </w:t>
      </w:r>
      <w:r>
        <w:rPr>
          <w:rFonts w:hint="eastAsia" w:ascii="仿宋" w:hAnsi="仿宋" w:eastAsia="仿宋" w:cs="仿宋"/>
          <w:sz w:val="28"/>
          <w:szCs w:val="28"/>
        </w:rPr>
        <w:sym w:font="Wingdings 2" w:char="F052"/>
      </w:r>
      <w:r>
        <w:rPr>
          <w:rFonts w:hint="eastAsia" w:ascii="仿宋" w:hAnsi="仿宋" w:eastAsia="仿宋" w:cs="仿宋"/>
          <w:sz w:val="28"/>
          <w:szCs w:val="28"/>
        </w:rPr>
        <w:t>不适用</w:t>
      </w:r>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仿宋" w:hAnsi="仿宋" w:eastAsia="仿宋" w:cs="仿宋"/>
          <w:b/>
          <w:bCs/>
          <w:sz w:val="28"/>
          <w:szCs w:val="28"/>
        </w:rPr>
      </w:pPr>
      <w:bookmarkStart w:id="7" w:name="_Toc988897"/>
      <w:r>
        <w:rPr>
          <w:rFonts w:hint="eastAsia" w:ascii="仿宋" w:hAnsi="仿宋" w:eastAsia="仿宋" w:cs="仿宋"/>
          <w:b/>
          <w:bCs/>
          <w:sz w:val="28"/>
          <w:szCs w:val="28"/>
        </w:rPr>
        <w:t>四、季度财务报表</w:t>
      </w:r>
      <w:bookmarkEnd w:id="7"/>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1"/>
        <w:rPr>
          <w:rFonts w:hint="eastAsia" w:ascii="仿宋" w:hAnsi="仿宋" w:eastAsia="仿宋" w:cs="仿宋"/>
          <w:b/>
          <w:bCs/>
          <w:sz w:val="28"/>
          <w:szCs w:val="28"/>
        </w:rPr>
      </w:pPr>
      <w:bookmarkStart w:id="8" w:name="_Toc988898"/>
      <w:r>
        <w:rPr>
          <w:rFonts w:hint="eastAsia" w:ascii="仿宋" w:hAnsi="仿宋" w:eastAsia="仿宋" w:cs="仿宋"/>
          <w:b/>
          <w:bCs/>
          <w:sz w:val="28"/>
          <w:szCs w:val="28"/>
        </w:rPr>
        <w:t>（一） 财务报表</w:t>
      </w:r>
      <w:bookmarkEnd w:id="8"/>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2"/>
        <w:rPr>
          <w:rFonts w:hint="eastAsia" w:ascii="仿宋" w:hAnsi="仿宋" w:eastAsia="仿宋" w:cs="仿宋"/>
          <w:b/>
          <w:bCs/>
          <w:sz w:val="28"/>
          <w:szCs w:val="28"/>
        </w:rPr>
      </w:pPr>
      <w:bookmarkStart w:id="9" w:name="_Toc988899"/>
      <w:r>
        <w:rPr>
          <w:rFonts w:hint="eastAsia" w:ascii="仿宋" w:hAnsi="仿宋" w:eastAsia="仿宋" w:cs="仿宋"/>
          <w:b/>
          <w:bCs/>
          <w:sz w:val="28"/>
          <w:szCs w:val="28"/>
        </w:rPr>
        <w:t>1、合并资产负债表</w:t>
      </w:r>
      <w:bookmarkEnd w:id="9"/>
    </w:p>
    <w:p>
      <w:pPr>
        <w:spacing w:before="0" w:after="0" w:line="240" w:lineRule="exact"/>
        <w:jc w:val="left"/>
        <w:rPr>
          <w:rFonts w:ascii="宋体" w:hAnsi="宋体" w:eastAsia="宋体" w:cs="宋体"/>
          <w:sz w:val="18"/>
          <w:szCs w:val="18"/>
        </w:rPr>
      </w:pPr>
      <w:r>
        <w:rPr>
          <w:rFonts w:ascii="宋体" w:hAnsi="宋体" w:eastAsia="宋体" w:cs="宋体"/>
          <w:sz w:val="18"/>
          <w:szCs w:val="18"/>
        </w:rPr>
        <w:t>编制单位：吉林电力股份有限公司</w:t>
      </w:r>
    </w:p>
    <w:p>
      <w:pPr>
        <w:spacing w:before="0" w:after="0" w:line="240" w:lineRule="exact"/>
        <w:jc w:val="center"/>
        <w:rPr>
          <w:rFonts w:ascii="宋体" w:hAnsi="宋体" w:eastAsia="宋体" w:cs="宋体"/>
          <w:sz w:val="18"/>
          <w:szCs w:val="18"/>
        </w:rPr>
      </w:pPr>
      <w:r>
        <w:rPr>
          <w:rFonts w:ascii="宋体" w:hAnsi="宋体" w:eastAsia="宋体" w:cs="宋体"/>
          <w:sz w:val="18"/>
          <w:szCs w:val="18"/>
        </w:rPr>
        <w:t>2023年09月30日</w:t>
      </w:r>
    </w:p>
    <w:p>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2023年9月30日</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2023年1月1日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1,136,346,439.30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1,348,385,330.39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99,239,762.88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73,243,507.81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10,420,871,831.33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8,668,217,948.17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222,520,139.77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176,111,852.80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170,832,520.05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208,538,954.19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256,983,742.56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266,441,119.83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1,029,695,676.88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1,006,582,623.55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13,337,490,112.77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11,748,521,336.74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128,622,432.00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135,332,432.00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1,178,745,388.44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993,460,052.58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331,527,876.98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281,527,876.98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50,016,932,331.81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50,105,874,130.55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4,630,555,961.93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4,200,334,056.42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1,321,452,525.27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1,191,690,780.77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1,040,190,309.27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906,045,237.68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40,501,827.91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35,160,851.81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4,621,652.28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197,421,637.83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215,599,147.09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294,983,125.22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282,808,172.14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2,371,780,129.54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1,611,009,075.40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61,557,335,198.48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59,963,463,465.70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74,894,825,311.25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8,311,935,335.95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6,791,485,849.14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3,193,899,613.60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3,477,256,775.59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154,811,496.54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366,709,469.99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77,528,082.66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22,626,716.89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208,527,878.24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191,742,022.38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1,141,230,577.53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1,248,333,731.01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342,039,980.18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111,154,051.70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4,571,517,311.99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5,193,100,299.99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20,383,227.04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30,693,215.71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17,679,833,523.55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17,321,948,080.70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30,078,439,870.05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29,159,708,562.41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3,042,074,464.10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2,028,496,107.45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839,072,126.42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728,331,018.25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1,472,192,342.41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2,108,557,237.50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18,617,029.00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18,432,689.80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62,537,025.66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61,219,368.54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343,307,555.60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340,886,533.68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35,856,240,413.24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34,445,631,517.63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53,536,073,936.79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51,767,579,598.33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2,790,208,174.00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7,037,910,334.71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4,260,484.70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69,908,912.52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6,441,578.51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98,426,246.14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2,019,598,073.94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1,240,853,249.15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12,020,312,226.01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11,178,100,067.21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9,338,439,148.45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8,766,305,136.90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21,358,751,374.46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19,944,405,204.11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74,894,825,311.25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71,711,984,802.44</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2"/>
        <w:rPr>
          <w:rFonts w:hint="eastAsia" w:ascii="仿宋" w:hAnsi="仿宋" w:eastAsia="仿宋" w:cs="仿宋"/>
          <w:b/>
          <w:bCs/>
          <w:sz w:val="28"/>
          <w:szCs w:val="28"/>
        </w:rPr>
      </w:pPr>
      <w:bookmarkStart w:id="10" w:name="_Toc988900"/>
      <w:r>
        <w:rPr>
          <w:rFonts w:hint="eastAsia" w:ascii="仿宋" w:hAnsi="仿宋" w:eastAsia="仿宋" w:cs="仿宋"/>
          <w:b/>
          <w:bCs/>
          <w:sz w:val="28"/>
          <w:szCs w:val="28"/>
        </w:rPr>
        <w:t>2、合并年初到报告期末利润表</w:t>
      </w:r>
      <w:bookmarkEnd w:id="10"/>
    </w:p>
    <w:p>
      <w:pPr>
        <w:pageBreakBefore w:val="0"/>
        <w:widowControl w:val="0"/>
        <w:kinsoku/>
        <w:wordWrap/>
        <w:overflowPunct/>
        <w:topLinePunct w:val="0"/>
        <w:autoSpaceDE/>
        <w:autoSpaceDN/>
        <w:bidi w:val="0"/>
        <w:adjustRightInd/>
        <w:snapToGrid/>
        <w:spacing w:line="600" w:lineRule="exact"/>
        <w:jc w:val="right"/>
        <w:textAlignment w:val="auto"/>
        <w:rPr>
          <w:rFonts w:ascii="宋体" w:hAnsi="宋体" w:eastAsia="宋体" w:cs="宋体"/>
          <w:sz w:val="18"/>
          <w:szCs w:val="18"/>
        </w:rPr>
      </w:pPr>
      <w:r>
        <w:rPr>
          <w:rFonts w:ascii="宋体" w:hAnsi="宋体" w:eastAsia="宋体" w:cs="宋体"/>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11,022,040,955.18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11,069,297,342.36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11,022,040,955.18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11,069,297,342.36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rPr>
            </w:pPr>
            <w:r>
              <w:rPr>
                <w:rFonts w:ascii="宋体" w:hAnsi="宋体" w:eastAsia="宋体" w:cs="宋体"/>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jc w:val="left"/>
              <w:rPr>
                <w:rFonts w:ascii="宋体" w:hAnsi="宋体" w:eastAsia="宋体" w:cs="宋体"/>
                <w:sz w:val="18"/>
                <w:szCs w:val="18"/>
              </w:rPr>
            </w:pPr>
            <w:r>
              <w:rPr>
                <w:rFonts w:ascii="宋体" w:hAnsi="宋体" w:eastAsia="宋体" w:cs="宋体"/>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9,247,699,766.86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9,775,927,829.68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7,896,954,839.32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8,197,398,942.88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提取保险责任准备金净额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720" w:firstLineChars="4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91,179,757.15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80,264,832.42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99,893,910.65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78,586,256.02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24,806,493.56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16,677,555.04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1,134,864,766.18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1,403,000,243.32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1,137,466,384.08</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1,411,260,831.78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11,025,764.22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13,822,403.34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73,979,289.49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56,954,772.51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53,336,289.61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57,165,101.85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51,631,416.86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57,165,101.85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1,556,202.82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-10,700,943.48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513,441.72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158,218.76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1,903,726,411.96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1,396,946,662.32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56,161,649.17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5,540,816.82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14,259,182.93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12,439,664.52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1,945,628,878.20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1,390,047,814.62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292,043,527.33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197,766,352.78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1,653,585,350.87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1,192,281,461.84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1,653,585,350.87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1,192,281,461.84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1.归属于母公司股东的净利润（净亏损以“-”号填列）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1,085,667,723.93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823,842,431.34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2.少数股东损益（净亏损以“-”号填列）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567,917,626.94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368,439,030.50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1,653,585,350.87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1,192,281,461.84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1,085,667,723.93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823,842,431.34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567,917,626.94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368,439,030.50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0.2953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0.3891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0.2953</w:t>
            </w:r>
          </w:p>
        </w:tc>
      </w:tr>
    </w:tbl>
    <w:p>
      <w:pPr>
        <w:spacing w:before="0" w:after="0" w:line="240" w:lineRule="exact"/>
        <w:jc w:val="left"/>
        <w:rPr>
          <w:rFonts w:ascii="宋体" w:hAnsi="宋体" w:eastAsia="宋体" w:cs="宋体"/>
          <w:sz w:val="18"/>
          <w:szCs w:val="18"/>
        </w:rPr>
      </w:pPr>
      <w:r>
        <w:rPr>
          <w:rFonts w:ascii="宋体" w:hAnsi="宋体" w:eastAsia="宋体" w:cs="宋体"/>
          <w:sz w:val="18"/>
          <w:szCs w:val="18"/>
        </w:rPr>
        <w:t>本期发生同一控制下企业合并的，被合并方在合并前实现的净利润为：元，上期被合并方实现的净利润为：元。</w:t>
      </w:r>
    </w:p>
    <w:p>
      <w:pPr>
        <w:spacing w:before="0" w:after="0" w:line="240" w:lineRule="exact"/>
        <w:jc w:val="left"/>
        <w:rPr>
          <w:rFonts w:ascii="宋体" w:hAnsi="宋体" w:eastAsia="宋体" w:cs="宋体"/>
          <w:sz w:val="18"/>
          <w:szCs w:val="18"/>
        </w:rPr>
      </w:pPr>
      <w:r>
        <w:rPr>
          <w:rFonts w:ascii="宋体" w:hAnsi="宋体" w:eastAsia="宋体" w:cs="宋体"/>
          <w:sz w:val="18"/>
          <w:szCs w:val="18"/>
        </w:rPr>
        <w:t>法定代表人：牛国君    主管会计工作负责人：谢晶    会计机构负责人：于杭</w:t>
      </w:r>
    </w:p>
    <w:p>
      <w:pPr>
        <w:keepNext/>
        <w:keepLines/>
        <w:pageBreakBefore w:val="0"/>
        <w:widowControl w:val="0"/>
        <w:kinsoku/>
        <w:wordWrap/>
        <w:overflowPunct/>
        <w:topLinePunct w:val="0"/>
        <w:autoSpaceDE/>
        <w:autoSpaceDN/>
        <w:bidi w:val="0"/>
        <w:adjustRightInd/>
        <w:snapToGrid/>
        <w:spacing w:line="600" w:lineRule="exact"/>
        <w:jc w:val="left"/>
        <w:textAlignment w:val="auto"/>
        <w:outlineLvl w:val="2"/>
        <w:rPr>
          <w:rFonts w:hint="eastAsia" w:ascii="仿宋" w:hAnsi="仿宋" w:eastAsia="仿宋" w:cs="仿宋"/>
          <w:b/>
          <w:bCs/>
          <w:sz w:val="28"/>
          <w:szCs w:val="28"/>
        </w:rPr>
      </w:pPr>
      <w:bookmarkStart w:id="11" w:name="_Toc988901"/>
      <w:r>
        <w:rPr>
          <w:rFonts w:hint="eastAsia" w:ascii="仿宋" w:hAnsi="仿宋" w:eastAsia="仿宋" w:cs="仿宋"/>
          <w:b/>
          <w:bCs/>
          <w:sz w:val="28"/>
          <w:szCs w:val="28"/>
        </w:rPr>
        <w:t>3、合并年初到报告期末现金流量表</w:t>
      </w:r>
      <w:bookmarkEnd w:id="11"/>
    </w:p>
    <w:p>
      <w:pPr>
        <w:pageBreakBefore w:val="0"/>
        <w:widowControl w:val="0"/>
        <w:kinsoku/>
        <w:wordWrap/>
        <w:overflowPunct/>
        <w:topLinePunct w:val="0"/>
        <w:autoSpaceDE/>
        <w:autoSpaceDN/>
        <w:bidi w:val="0"/>
        <w:adjustRightInd/>
        <w:snapToGrid/>
        <w:spacing w:line="600" w:lineRule="exact"/>
        <w:jc w:val="right"/>
        <w:textAlignment w:val="auto"/>
        <w:rPr>
          <w:rFonts w:ascii="宋体" w:hAnsi="宋体" w:eastAsia="宋体" w:cs="宋体"/>
          <w:sz w:val="18"/>
          <w:szCs w:val="18"/>
        </w:rPr>
      </w:pPr>
      <w:r>
        <w:rPr>
          <w:rFonts w:ascii="宋体" w:hAnsi="宋体" w:eastAsia="宋体" w:cs="宋体"/>
          <w:sz w:val="18"/>
          <w:szCs w:val="18"/>
        </w:rPr>
        <w:t>单位：元</w:t>
      </w:r>
    </w:p>
    <w:tbl>
      <w:tblPr>
        <w:tblStyle w:val="5"/>
        <w:tblW w:w="96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本期发生额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center"/>
              <w:rPr>
                <w:rFonts w:ascii="宋体" w:hAnsi="宋体" w:eastAsia="宋体" w:cs="宋体"/>
                <w:sz w:val="18"/>
                <w:szCs w:val="18"/>
              </w:rPr>
            </w:pPr>
            <w:r>
              <w:rPr>
                <w:rFonts w:ascii="宋体" w:hAnsi="宋体" w:eastAsia="宋体" w:cs="宋体"/>
                <w:sz w:val="18"/>
                <w:szCs w:val="18"/>
              </w:rPr>
              <w:t>上期发生额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10,383,812,555.17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11,445,543,869.41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264,154,044.57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873,817,546.15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113,307,005.65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37,216,988.80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10,761,273,605.39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12,356,578,404.36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5,191,927,836.04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4,727,045,949.02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942,068,155.91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654,984,691.48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944,919,119.32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762,448,988.99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302,921,784.60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418,292,387.53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7,381,836,895.87</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6,562,772,017.02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3,379,436,709.52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5,793,806,387.34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630,525.00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2,846,454.63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158,218.76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3,476,979.63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158,218.76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4,058,185,848.72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5,752,322,931.80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280,005,958.43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348,437,101.85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4,338,191,807.15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6,100,760,033.65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-4,334,714,827.52</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-6,100,601,814.89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470,374,429.00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1,733,493,420.60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470,374,429.00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1,733,493,420.60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22,832,732,849.29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26,113,873,686.19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691,000,000.00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700,000,000.00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23,994,107,278.29</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28,547,367,106.79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19,653,652,521.60</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23,988,558,665.60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1,780,488,177.73</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980,431,301.47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468,638,030.11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113,366,030.00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1,660,513,798.21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2,922,764,663.54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23,094,654,497.54</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27,891,754,630.61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899,452,780.75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655,612,476.18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-55,825,337.25</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348,817,048.63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1,134,901,784.46</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876,808,874.83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1,079,076,447.21</w:t>
            </w:r>
          </w:p>
        </w:tc>
        <w:tc>
          <w:tcPr>
            <w:tcW w:w="3213" w:type="dxa"/>
            <w:tcBorders>
              <w:top w:val="single" w:color="auto" w:sz="2" w:space="0"/>
              <w:left w:val="single" w:color="auto" w:sz="2" w:space="0"/>
              <w:bottom w:val="single" w:color="auto" w:sz="2" w:space="0"/>
              <w:right w:val="single" w:color="auto" w:sz="2" w:space="0"/>
            </w:tcBorders>
            <w:vAlign w:val="center"/>
          </w:tcPr>
          <w:p>
            <w:pPr>
              <w:spacing w:before="0" w:after="0" w:line="240" w:lineRule="exact"/>
              <w:jc w:val="right"/>
              <w:rPr>
                <w:rFonts w:ascii="宋体" w:hAnsi="宋体" w:eastAsia="宋体" w:cs="宋体"/>
                <w:sz w:val="18"/>
                <w:szCs w:val="18"/>
              </w:rPr>
            </w:pPr>
            <w:r>
              <w:rPr>
                <w:rFonts w:ascii="宋体" w:hAnsi="宋体" w:eastAsia="宋体" w:cs="宋体"/>
                <w:sz w:val="18"/>
                <w:szCs w:val="18"/>
              </w:rPr>
              <w:t>1,225,625,923.46</w:t>
            </w:r>
          </w:p>
        </w:tc>
      </w:tr>
    </w:tbl>
    <w:p>
      <w:pPr>
        <w:keepNext/>
        <w:keepLines/>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1"/>
        <w:rPr>
          <w:rFonts w:hint="eastAsia" w:ascii="仿宋" w:hAnsi="仿宋" w:eastAsia="仿宋" w:cs="仿宋"/>
        </w:rPr>
      </w:pPr>
      <w:bookmarkStart w:id="12" w:name="_Toc988902"/>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2023年起首次执行新会计准则调整首次执行当年年初财务报表相关项目情况</w:t>
      </w:r>
      <w:bookmarkEnd w:id="12"/>
    </w:p>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sym w:font="Wingdings 2" w:char="F052"/>
      </w:r>
      <w:r>
        <w:rPr>
          <w:rFonts w:hint="eastAsia" w:ascii="仿宋" w:hAnsi="仿宋" w:eastAsia="仿宋" w:cs="仿宋"/>
          <w:sz w:val="28"/>
          <w:szCs w:val="28"/>
        </w:rPr>
        <w:t>适用 □不适用</w:t>
      </w:r>
    </w:p>
    <w:p>
      <w:pPr>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调整情况说明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baseline"/>
        <w:rPr>
          <w:rFonts w:hint="eastAsia" w:ascii="仿宋" w:hAnsi="仿宋" w:eastAsia="仿宋" w:cs="仿宋"/>
          <w:sz w:val="21"/>
          <w:szCs w:val="21"/>
          <w:vertAlign w:val="baseline"/>
        </w:rPr>
      </w:pPr>
      <w:r>
        <w:rPr>
          <w:rFonts w:hint="eastAsia" w:ascii="仿宋" w:hAnsi="仿宋" w:eastAsia="仿宋" w:cs="仿宋"/>
          <w:sz w:val="21"/>
          <w:szCs w:val="21"/>
          <w:vertAlign w:val="baseline"/>
        </w:rPr>
        <w:t>公司自2023年1月1日起执行财政部颁布的《企业会计准则解释第16号》“关于单项交易产生的资产和负债相关的递延所得税不适用初始确认豁免的会计处理”规定，对于在首次执行该规定的财务报表列报最早期间的期初至2023年1月1日之间进行追溯调整，具体情况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rPr>
          <w:rFonts w:hint="eastAsia" w:ascii="仿宋" w:hAnsi="仿宋" w:eastAsia="仿宋" w:cs="仿宋"/>
          <w:sz w:val="18"/>
          <w:szCs w:val="18"/>
        </w:rPr>
      </w:pPr>
      <w:r>
        <w:rPr>
          <w:rFonts w:hint="eastAsia" w:ascii="仿宋" w:hAnsi="仿宋" w:eastAsia="仿宋" w:cs="仿宋"/>
          <w:sz w:val="21"/>
          <w:szCs w:val="21"/>
        </w:rPr>
        <w:t> </w:t>
      </w:r>
      <w:r>
        <w:rPr>
          <w:rFonts w:hint="eastAsia" w:ascii="仿宋" w:hAnsi="仿宋" w:eastAsia="仿宋" w:cs="仿宋"/>
          <w:sz w:val="18"/>
          <w:szCs w:val="18"/>
        </w:rPr>
        <w:t>单位：元</w:t>
      </w:r>
    </w:p>
    <w:tbl>
      <w:tblPr>
        <w:tblStyle w:val="5"/>
        <w:tblW w:w="998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624"/>
        <w:gridCol w:w="2250"/>
        <w:gridCol w:w="2689"/>
        <w:gridCol w:w="24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26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560" w:lineRule="atLeast"/>
              <w:ind w:left="0" w:right="0" w:firstLine="0"/>
              <w:jc w:val="both"/>
              <w:textAlignment w:val="baseline"/>
              <w:rPr>
                <w:rFonts w:hint="default" w:ascii="Times New Roman" w:hAnsi="Times New Roman" w:cs="Times New Roman"/>
                <w:sz w:val="24"/>
                <w:szCs w:val="24"/>
              </w:rPr>
            </w:pPr>
            <w:r>
              <w:rPr>
                <w:rFonts w:hint="eastAsia" w:ascii="宋体" w:hAnsi="宋体" w:eastAsia="宋体" w:cs="宋体"/>
                <w:sz w:val="18"/>
                <w:szCs w:val="18"/>
                <w:vertAlign w:val="baseline"/>
              </w:rPr>
              <w:t> 受重要影响的报表项目</w:t>
            </w:r>
          </w:p>
        </w:tc>
        <w:tc>
          <w:tcPr>
            <w:tcW w:w="22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560" w:lineRule="atLeast"/>
              <w:ind w:left="0" w:right="0" w:firstLine="0"/>
              <w:jc w:val="center"/>
              <w:textAlignment w:val="center"/>
              <w:rPr>
                <w:rFonts w:hint="eastAsia" w:ascii="Times New Roman" w:hAnsi="Times New Roman" w:eastAsia="宋体" w:cs="Times New Roman"/>
                <w:sz w:val="21"/>
                <w:szCs w:val="21"/>
                <w:lang w:val="en-US" w:eastAsia="zh-CN"/>
              </w:rPr>
            </w:pPr>
            <w:r>
              <w:rPr>
                <w:rFonts w:hint="eastAsia" w:ascii="宋体" w:hAnsi="宋体" w:eastAsia="宋体" w:cs="宋体"/>
                <w:i w:val="0"/>
                <w:color w:val="000000"/>
                <w:sz w:val="18"/>
                <w:szCs w:val="18"/>
              </w:rPr>
              <w:t>2022</w:t>
            </w:r>
            <w:r>
              <w:rPr>
                <w:rFonts w:hint="eastAsia" w:ascii="宋体" w:hAnsi="宋体" w:cs="宋体"/>
                <w:i w:val="0"/>
                <w:color w:val="000000"/>
                <w:sz w:val="18"/>
                <w:szCs w:val="18"/>
                <w:lang w:val="en-US" w:eastAsia="zh-CN"/>
              </w:rPr>
              <w:t>年</w:t>
            </w:r>
            <w:r>
              <w:rPr>
                <w:rFonts w:hint="eastAsia" w:ascii="宋体" w:hAnsi="宋体" w:eastAsia="宋体" w:cs="宋体"/>
                <w:i w:val="0"/>
                <w:color w:val="000000"/>
                <w:sz w:val="18"/>
                <w:szCs w:val="18"/>
              </w:rPr>
              <w:t>12</w:t>
            </w:r>
            <w:r>
              <w:rPr>
                <w:rFonts w:hint="eastAsia" w:ascii="宋体" w:hAnsi="宋体" w:cs="宋体"/>
                <w:i w:val="0"/>
                <w:color w:val="000000"/>
                <w:sz w:val="18"/>
                <w:szCs w:val="18"/>
                <w:lang w:val="en-US" w:eastAsia="zh-CN"/>
              </w:rPr>
              <w:t>月</w:t>
            </w:r>
            <w:r>
              <w:rPr>
                <w:rFonts w:hint="eastAsia" w:ascii="宋体" w:hAnsi="宋体" w:eastAsia="宋体" w:cs="宋体"/>
                <w:i w:val="0"/>
                <w:color w:val="000000"/>
                <w:sz w:val="18"/>
                <w:szCs w:val="18"/>
              </w:rPr>
              <w:t>31</w:t>
            </w:r>
            <w:r>
              <w:rPr>
                <w:rFonts w:hint="eastAsia" w:ascii="宋体" w:hAnsi="宋体" w:cs="宋体"/>
                <w:i w:val="0"/>
                <w:color w:val="000000"/>
                <w:sz w:val="18"/>
                <w:szCs w:val="18"/>
                <w:lang w:val="en-US" w:eastAsia="zh-CN"/>
              </w:rPr>
              <w:t>日</w:t>
            </w:r>
          </w:p>
        </w:tc>
        <w:tc>
          <w:tcPr>
            <w:tcW w:w="26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560" w:lineRule="atLeast"/>
              <w:ind w:left="0" w:right="0" w:firstLine="0"/>
              <w:jc w:val="center"/>
              <w:textAlignment w:val="center"/>
              <w:rPr>
                <w:rFonts w:hint="eastAsia" w:ascii="Times New Roman" w:hAnsi="Times New Roman" w:eastAsia="宋体" w:cs="Times New Roman"/>
                <w:sz w:val="21"/>
                <w:szCs w:val="21"/>
                <w:lang w:val="en-US" w:eastAsia="zh-CN"/>
              </w:rPr>
            </w:pPr>
            <w:r>
              <w:rPr>
                <w:rFonts w:hint="eastAsia" w:ascii="宋体" w:hAnsi="宋体" w:eastAsia="宋体" w:cs="宋体"/>
                <w:i w:val="0"/>
                <w:color w:val="000000"/>
                <w:sz w:val="18"/>
                <w:szCs w:val="18"/>
              </w:rPr>
              <w:t>2023</w:t>
            </w:r>
            <w:r>
              <w:rPr>
                <w:rFonts w:hint="eastAsia" w:ascii="宋体" w:hAnsi="宋体" w:cs="宋体"/>
                <w:i w:val="0"/>
                <w:color w:val="000000"/>
                <w:sz w:val="18"/>
                <w:szCs w:val="18"/>
                <w:lang w:val="en-US" w:eastAsia="zh-CN"/>
              </w:rPr>
              <w:t>年</w:t>
            </w:r>
            <w:r>
              <w:rPr>
                <w:rFonts w:hint="eastAsia" w:ascii="宋体" w:hAnsi="宋体" w:eastAsia="宋体" w:cs="宋体"/>
                <w:i w:val="0"/>
                <w:color w:val="000000"/>
                <w:sz w:val="18"/>
                <w:szCs w:val="18"/>
              </w:rPr>
              <w:t>1</w:t>
            </w:r>
            <w:r>
              <w:rPr>
                <w:rFonts w:hint="eastAsia" w:ascii="宋体" w:hAnsi="宋体" w:cs="宋体"/>
                <w:i w:val="0"/>
                <w:color w:val="000000"/>
                <w:sz w:val="18"/>
                <w:szCs w:val="18"/>
                <w:lang w:val="en-US" w:eastAsia="zh-CN"/>
              </w:rPr>
              <w:t>月</w:t>
            </w:r>
            <w:r>
              <w:rPr>
                <w:rFonts w:hint="eastAsia" w:ascii="宋体" w:hAnsi="宋体" w:eastAsia="宋体" w:cs="宋体"/>
                <w:i w:val="0"/>
                <w:color w:val="000000"/>
                <w:sz w:val="18"/>
                <w:szCs w:val="18"/>
              </w:rPr>
              <w:t>1</w:t>
            </w:r>
            <w:r>
              <w:rPr>
                <w:rFonts w:hint="eastAsia" w:ascii="宋体" w:hAnsi="宋体" w:cs="宋体"/>
                <w:i w:val="0"/>
                <w:color w:val="000000"/>
                <w:sz w:val="18"/>
                <w:szCs w:val="18"/>
                <w:lang w:val="en-US" w:eastAsia="zh-CN"/>
              </w:rPr>
              <w:t>日</w:t>
            </w:r>
          </w:p>
        </w:tc>
        <w:tc>
          <w:tcPr>
            <w:tcW w:w="242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line="560" w:lineRule="atLeast"/>
              <w:ind w:left="0" w:right="0" w:firstLine="0"/>
              <w:jc w:val="center"/>
              <w:textAlignment w:val="center"/>
              <w:rPr>
                <w:rFonts w:hint="default" w:ascii="Times New Roman" w:hAnsi="Times New Roman" w:cs="Times New Roman"/>
                <w:sz w:val="21"/>
                <w:szCs w:val="21"/>
              </w:rPr>
            </w:pPr>
            <w:r>
              <w:rPr>
                <w:rFonts w:hint="eastAsia" w:ascii="宋体" w:hAnsi="宋体" w:eastAsia="宋体" w:cs="宋体"/>
                <w:i w:val="0"/>
                <w:color w:val="000000"/>
                <w:sz w:val="18"/>
                <w:szCs w:val="18"/>
              </w:rPr>
              <w:t>影响金额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递延所得税资产</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89,826,980.23</w:t>
            </w:r>
          </w:p>
        </w:tc>
        <w:tc>
          <w:tcPr>
            <w:tcW w:w="2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282,808,172.14</w:t>
            </w:r>
          </w:p>
        </w:tc>
        <w:tc>
          <w:tcPr>
            <w:tcW w:w="2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192,981,191.91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递延所得税负债</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153,831,550.83</w:t>
            </w:r>
          </w:p>
        </w:tc>
        <w:tc>
          <w:tcPr>
            <w:tcW w:w="2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340,886,533.68</w:t>
            </w:r>
          </w:p>
        </w:tc>
        <w:tc>
          <w:tcPr>
            <w:tcW w:w="2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187,054,982.85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未分配利润</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1,235,240,245.40</w:t>
            </w:r>
          </w:p>
        </w:tc>
        <w:tc>
          <w:tcPr>
            <w:tcW w:w="2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1,240,853,249.15</w:t>
            </w:r>
          </w:p>
        </w:tc>
        <w:tc>
          <w:tcPr>
            <w:tcW w:w="2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5,613,003.75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26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100" w:beforeAutospacing="0" w:after="100" w:afterAutospacing="0"/>
              <w:ind w:left="0" w:right="0"/>
              <w:jc w:val="both"/>
              <w:textAlignment w:val="center"/>
              <w:rPr>
                <w:rFonts w:hint="default" w:ascii="Times New Roman" w:hAnsi="Times New Roman" w:cs="Times New Roman"/>
                <w:sz w:val="24"/>
                <w:szCs w:val="24"/>
              </w:rPr>
            </w:pPr>
            <w:r>
              <w:rPr>
                <w:rFonts w:hint="eastAsia" w:ascii="宋体" w:hAnsi="宋体" w:eastAsia="宋体" w:cs="宋体"/>
                <w:i w:val="0"/>
                <w:color w:val="000000"/>
                <w:sz w:val="18"/>
                <w:szCs w:val="18"/>
              </w:rPr>
              <w:t>少数股东权益</w:t>
            </w:r>
          </w:p>
        </w:tc>
        <w:tc>
          <w:tcPr>
            <w:tcW w:w="2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8,765,991,931.59</w:t>
            </w:r>
          </w:p>
        </w:tc>
        <w:tc>
          <w:tcPr>
            <w:tcW w:w="26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8,766,305,136.90</w:t>
            </w:r>
          </w:p>
        </w:tc>
        <w:tc>
          <w:tcPr>
            <w:tcW w:w="2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right"/>
              <w:textAlignment w:val="top"/>
              <w:rPr>
                <w:rFonts w:hint="default" w:ascii="Times New Roman" w:hAnsi="Times New Roman" w:cs="Times New Roman"/>
                <w:sz w:val="21"/>
                <w:szCs w:val="21"/>
              </w:rPr>
            </w:pPr>
            <w:r>
              <w:rPr>
                <w:rFonts w:hint="eastAsia" w:ascii="宋体" w:hAnsi="宋体" w:eastAsia="宋体" w:cs="宋体"/>
                <w:i w:val="0"/>
                <w:color w:val="000000"/>
                <w:sz w:val="18"/>
                <w:szCs w:val="18"/>
              </w:rPr>
              <w:t>313,205.31</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baseline"/>
        <w:rPr>
          <w:rFonts w:hint="eastAsia" w:ascii="仿宋" w:hAnsi="仿宋" w:eastAsia="仿宋" w:cs="仿宋"/>
          <w:b/>
          <w:bCs/>
          <w:sz w:val="28"/>
          <w:szCs w:val="28"/>
        </w:rPr>
      </w:pPr>
      <w:bookmarkStart w:id="13" w:name="_Toc988903"/>
      <w:r>
        <w:rPr>
          <w:rFonts w:hint="eastAsia" w:ascii="仿宋" w:hAnsi="仿宋" w:eastAsia="仿宋" w:cs="仿宋"/>
          <w:b/>
          <w:bCs/>
          <w:sz w:val="28"/>
          <w:szCs w:val="28"/>
        </w:rPr>
        <w:t>（三） 审计报告</w:t>
      </w:r>
      <w:bookmarkEnd w:id="13"/>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第三季度报告是否经过审计</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□是 </w:t>
      </w:r>
      <w:r>
        <w:rPr>
          <w:rFonts w:hint="eastAsia" w:ascii="仿宋" w:hAnsi="仿宋" w:eastAsia="仿宋" w:cs="仿宋"/>
          <w:sz w:val="28"/>
          <w:szCs w:val="28"/>
        </w:rPr>
        <w:sym w:font="Wingdings 2" w:char="F052"/>
      </w:r>
      <w:r>
        <w:rPr>
          <w:rFonts w:hint="eastAsia" w:ascii="仿宋" w:hAnsi="仿宋" w:eastAsia="仿宋" w:cs="仿宋"/>
          <w:sz w:val="28"/>
          <w:szCs w:val="28"/>
        </w:rPr>
        <w:t>否</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公司第三季度报告未经审计。</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特此公告。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bookmarkStart w:id="14" w:name="_GoBack"/>
      <w:bookmarkEnd w:id="14"/>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仿宋" w:hAnsi="仿宋" w:eastAsia="仿宋" w:cs="仿宋"/>
          <w:sz w:val="48"/>
          <w:szCs w:val="44"/>
        </w:rPr>
      </w:pPr>
      <w:r>
        <w:rPr>
          <w:rFonts w:hint="eastAsia" w:ascii="仿宋" w:hAnsi="仿宋" w:eastAsia="仿宋" w:cs="仿宋"/>
          <w:sz w:val="28"/>
          <w:szCs w:val="28"/>
        </w:rPr>
        <w:t>吉林电力股份有限公司董事会</w:t>
      </w:r>
      <w:r>
        <w:rPr>
          <w:rFonts w:hint="eastAsia" w:ascii="仿宋" w:hAnsi="仿宋" w:eastAsia="仿宋" w:cs="仿宋"/>
          <w:sz w:val="48"/>
          <w:szCs w:val="4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eastAsia="Times New Roman"/>
          <w:b/>
          <w:sz w:val="28"/>
          <w:szCs w:val="24"/>
        </w:rPr>
      </w:pPr>
      <w:r>
        <w:rPr>
          <w:rFonts w:hint="eastAsia" w:ascii="仿宋" w:hAnsi="仿宋" w:eastAsia="仿宋"/>
          <w:sz w:val="28"/>
          <w:szCs w:val="24"/>
        </w:rPr>
        <w:t>二○二</w:t>
      </w:r>
      <w:r>
        <w:rPr>
          <w:rFonts w:hint="eastAsia" w:ascii="仿宋" w:hAnsi="仿宋" w:eastAsia="仿宋"/>
          <w:sz w:val="28"/>
          <w:szCs w:val="24"/>
          <w:lang w:val="en-US" w:eastAsia="zh-CN"/>
        </w:rPr>
        <w:t>三</w:t>
      </w:r>
      <w:r>
        <w:rPr>
          <w:rFonts w:hint="eastAsia" w:ascii="仿宋" w:hAnsi="仿宋" w:eastAsia="仿宋"/>
          <w:sz w:val="28"/>
          <w:szCs w:val="24"/>
        </w:rPr>
        <w:t>年</w:t>
      </w:r>
      <w:r>
        <w:rPr>
          <w:rFonts w:hint="eastAsia" w:ascii="仿宋" w:hAnsi="仿宋" w:eastAsia="仿宋"/>
          <w:sz w:val="28"/>
          <w:szCs w:val="24"/>
          <w:lang w:val="en-US" w:eastAsia="zh-CN"/>
        </w:rPr>
        <w:t>十</w:t>
      </w:r>
      <w:r>
        <w:rPr>
          <w:rFonts w:hint="eastAsia" w:ascii="仿宋" w:hAnsi="仿宋" w:eastAsia="仿宋"/>
          <w:sz w:val="28"/>
          <w:szCs w:val="24"/>
        </w:rPr>
        <w:t>月</w:t>
      </w:r>
      <w:r>
        <w:rPr>
          <w:rFonts w:hint="eastAsia" w:ascii="仿宋" w:hAnsi="仿宋" w:eastAsia="仿宋"/>
          <w:sz w:val="28"/>
          <w:szCs w:val="24"/>
          <w:lang w:val="en-US" w:eastAsia="zh-CN"/>
        </w:rPr>
        <w:t>三</w:t>
      </w:r>
      <w:r>
        <w:rPr>
          <w:rFonts w:hint="eastAsia" w:ascii="仿宋" w:hAnsi="仿宋" w:eastAsia="仿宋"/>
          <w:sz w:val="28"/>
          <w:szCs w:val="24"/>
        </w:rPr>
        <w:t>十日</w:t>
      </w:r>
    </w:p>
    <w:p>
      <w:pPr>
        <w:spacing w:before="0" w:after="0" w:line="240" w:lineRule="exact"/>
        <w:jc w:val="right"/>
        <w:rPr>
          <w:rFonts w:ascii="宋体" w:hAnsi="宋体" w:eastAsia="宋体" w:cs="宋体"/>
          <w:sz w:val="18"/>
          <w:szCs w:val="18"/>
        </w:rPr>
      </w:pPr>
    </w:p>
    <w:sectPr>
      <w:headerReference r:id="rId3" w:type="default"/>
      <w:footerReference r:id="rId4" w:type="default"/>
      <w:pgSz w:w="11905" w:h="16840"/>
      <w:pgMar w:top="1440" w:right="1134" w:bottom="1440" w:left="1134" w:header="850"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ascii="宋体" w:eastAsia="宋体"/>
        <w:sz w:val="18"/>
        <w:szCs w:val="18"/>
      </w:rPr>
      <w:fldChar w:fldCharType="begin"/>
    </w:r>
    <w:r>
      <w:rPr>
        <w:rFonts w:ascii="宋体" w:eastAsia="宋体"/>
        <w:sz w:val="18"/>
        <w:szCs w:val="18"/>
      </w:rPr>
      <w:instrText xml:space="preserve">PAGE   \* MERGEFORMAT</w:instrText>
    </w:r>
    <w:r>
      <w:rPr>
        <w:rFonts w:ascii="宋体" w:eastAsia="宋体"/>
        <w:sz w:val="18"/>
        <w:szCs w:val="18"/>
      </w:rPr>
      <w:fldChar w:fldCharType="separate"/>
    </w:r>
    <w:r>
      <w:rPr>
        <w:rFonts w:ascii="宋体" w:eastAsia="宋体"/>
        <w:sz w:val="18"/>
        <w:szCs w:val="18"/>
      </w:rPr>
      <w:t>1</w:t>
    </w:r>
    <w:r>
      <w:rPr>
        <w:rFonts w:ascii="宋体" w:eastAsia="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compat>
    <w:doNotExpandShiftReturn/>
    <w:useFELayout/>
    <w:compatSetting w:name="compatibilityMode" w:uri="http://schemas.microsoft.com/office/word" w:val="14"/>
  </w:compat>
  <w:docVars>
    <w:docVar w:name="commondata" w:val="eyJoZGlkIjoiODIyZDUxMmU3NmEwMTE5M2Q5ZTg0MGVmOGY5OWRhMDQifQ=="/>
  </w:docVars>
  <w:rsids>
    <w:rsidRoot w:val="00000000"/>
    <w:rsid w:val="06553BF1"/>
    <w:rsid w:val="0854295C"/>
    <w:rsid w:val="17ED2356"/>
    <w:rsid w:val="1ACB1577"/>
    <w:rsid w:val="24A14736"/>
    <w:rsid w:val="2B834968"/>
    <w:rsid w:val="3B670180"/>
    <w:rsid w:val="3BD95165"/>
    <w:rsid w:val="3C285AF8"/>
    <w:rsid w:val="44A644AA"/>
    <w:rsid w:val="469D0D80"/>
    <w:rsid w:val="4FC469AB"/>
    <w:rsid w:val="5DB30C55"/>
    <w:rsid w:val="676D085A"/>
    <w:rsid w:val="685205E4"/>
    <w:rsid w:val="687B6B37"/>
    <w:rsid w:val="6D875652"/>
    <w:rsid w:val="784E23F7"/>
    <w:rsid w:val="7BA66D46"/>
    <w:rsid w:val="7EC36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rPr>
      <w:rFonts w:hint="eastAsia"/>
      <w:sz w:val="32"/>
      <w:szCs w:val="24"/>
    </w:rPr>
  </w:style>
  <w:style w:type="paragraph" w:styleId="3">
    <w:name w:val="Body Text Indent"/>
    <w:basedOn w:val="1"/>
    <w:next w:val="1"/>
    <w:unhideWhenUsed/>
    <w:qFormat/>
    <w:uiPriority w:val="0"/>
    <w:pPr>
      <w:ind w:firstLine="640" w:firstLineChars="200"/>
    </w:pPr>
    <w:rPr>
      <w:rFonts w:hint="eastAsia"/>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2023-10-27T03:09:00Z</dcterms:created>
  <dc:creator>huawei</dc:creator>
  <cp:lastModifiedBy>WPS_1591103659</cp:lastModifiedBy>
  <dcterms:modified xsi:type="dcterms:W3CDTF">2023-10-30T08:48:05Z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5EB758D0C6AC40D08916971878F6B494_12</vt:lpwstr>
  </property>
</Properties>
</file>