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olor w:val="FF0000"/>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hint="eastAsia" w:ascii="Times New Roman" w:hAnsi="Times New Roman"/>
        </w:rPr>
        <w:t>2023-0</w:t>
      </w:r>
      <w:r>
        <w:rPr>
          <w:rFonts w:hint="eastAsia"/>
          <w:lang w:val="en-US" w:eastAsia="zh-CN"/>
        </w:rPr>
        <w:t>89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22225</wp:posOffset>
                </wp:positionV>
                <wp:extent cx="5417820" cy="22860"/>
                <wp:effectExtent l="0" t="28575" r="7620" b="40005"/>
                <wp:wrapNone/>
                <wp:docPr id="1" name="直线 4"/>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8.55pt;margin-top:1.75pt;height:1.8pt;width:426.6pt;z-index:251659264;mso-width-relative:page;mso-height-relative:page;" filled="f" stroked="t" coordsize="21600,21600" o:gfxdata="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A8CYTTAAAABwEAAA8AAAAAAAAAAQAgAAAAIgAAAGRycy9kb3ducmV2LnhtbFBLAQIU&#10;ABQAAAAIAIdO4kCvrezf+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cs="宋体"/>
          <w:b/>
          <w:sz w:val="44"/>
          <w:szCs w:val="44"/>
        </w:rPr>
      </w:pPr>
      <w:r>
        <w:rPr>
          <w:rFonts w:hint="eastAsia" w:ascii="Times New Roman" w:hAnsi="Times New Roman" w:cs="宋体"/>
          <w:b/>
          <w:sz w:val="44"/>
          <w:szCs w:val="44"/>
        </w:rPr>
        <w:t>吉林电力股份有限公司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b/>
          <w:sz w:val="44"/>
          <w:szCs w:val="44"/>
        </w:rPr>
      </w:pPr>
      <w:r>
        <w:rPr>
          <w:rFonts w:hint="eastAsia" w:ascii="Times New Roman" w:hAnsi="Times New Roman" w:cs="宋体"/>
          <w:b/>
          <w:sz w:val="44"/>
          <w:szCs w:val="44"/>
        </w:rPr>
        <w:t>第九届监事会第</w:t>
      </w:r>
      <w:r>
        <w:rPr>
          <w:rFonts w:hint="eastAsia" w:cs="宋体"/>
          <w:b/>
          <w:sz w:val="44"/>
          <w:szCs w:val="44"/>
          <w:lang w:val="en-US" w:eastAsia="zh-CN"/>
        </w:rPr>
        <w:t>十</w:t>
      </w:r>
      <w:r>
        <w:rPr>
          <w:rFonts w:hint="eastAsia" w:ascii="Times New Roman" w:hAnsi="Times New Roman" w:cs="宋体"/>
          <w:b/>
          <w:sz w:val="44"/>
          <w:szCs w:val="44"/>
        </w:rPr>
        <w:t>次会议决议公告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本公司及监事会全体成员保证</w:t>
      </w:r>
      <w:r>
        <w:rPr>
          <w:rFonts w:hint="eastAsia" w:ascii="Times New Roman" w:hAnsi="Times New Roman" w:eastAsia="仿宋"/>
          <w:b/>
          <w:sz w:val="28"/>
          <w:szCs w:val="28"/>
        </w:rPr>
        <w:t>信息披露</w:t>
      </w:r>
      <w:r>
        <w:rPr>
          <w:rFonts w:ascii="Times New Roman" w:hAnsi="Times New Roman" w:eastAsia="仿宋"/>
          <w:b/>
          <w:sz w:val="28"/>
          <w:szCs w:val="28"/>
        </w:rPr>
        <w:t>内容的真实、准确</w:t>
      </w:r>
      <w:r>
        <w:rPr>
          <w:rFonts w:hint="eastAsia" w:ascii="Times New Roman" w:hAnsi="Times New Roman" w:eastAsia="仿宋"/>
          <w:b/>
          <w:sz w:val="28"/>
          <w:szCs w:val="28"/>
        </w:rPr>
        <w:t>和</w:t>
      </w:r>
      <w:r>
        <w:rPr>
          <w:rFonts w:ascii="Times New Roman" w:hAnsi="Times New Roman" w:eastAsia="仿宋"/>
          <w:b/>
          <w:sz w:val="28"/>
          <w:szCs w:val="28"/>
        </w:rPr>
        <w:t>完整，没有虚假记载、误导性陈述或重大遗漏。</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仿宋"/>
          <w:sz w:val="32"/>
          <w:szCs w:val="32"/>
        </w:rPr>
      </w:pP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一、监事会会议召开情况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leftChars="0" w:firstLine="548" w:firstLineChars="196"/>
        <w:jc w:val="left"/>
        <w:textAlignment w:val="auto"/>
        <w:rPr>
          <w:rFonts w:hint="default" w:ascii="Times New Roman" w:hAnsi="Times New Roman" w:eastAsia="仿宋" w:cs="Times New Roman"/>
          <w:sz w:val="28"/>
          <w:szCs w:val="28"/>
        </w:rPr>
      </w:pPr>
      <w:r>
        <w:rPr>
          <w:rFonts w:ascii="Times New Roman" w:hAnsi="Times New Roman" w:eastAsia="仿宋"/>
          <w:sz w:val="28"/>
          <w:szCs w:val="28"/>
        </w:rPr>
        <w:t>1.吉林电力股份有限公司第</w:t>
      </w:r>
      <w:r>
        <w:rPr>
          <w:rFonts w:hint="eastAsia" w:ascii="Times New Roman" w:hAnsi="Times New Roman" w:eastAsia="仿宋"/>
          <w:sz w:val="28"/>
          <w:szCs w:val="28"/>
        </w:rPr>
        <w:t>九</w:t>
      </w:r>
      <w:r>
        <w:rPr>
          <w:rFonts w:ascii="Times New Roman" w:hAnsi="Times New Roman" w:eastAsia="仿宋"/>
          <w:sz w:val="28"/>
          <w:szCs w:val="28"/>
        </w:rPr>
        <w:t>届监事会第</w:t>
      </w:r>
      <w:r>
        <w:rPr>
          <w:rFonts w:hint="eastAsia" w:eastAsia="仿宋"/>
          <w:sz w:val="28"/>
          <w:szCs w:val="28"/>
          <w:lang w:val="en-US" w:eastAsia="zh-CN"/>
        </w:rPr>
        <w:t>十</w:t>
      </w:r>
      <w:r>
        <w:rPr>
          <w:rFonts w:ascii="Times New Roman" w:hAnsi="Times New Roman" w:eastAsia="仿宋"/>
          <w:sz w:val="28"/>
          <w:szCs w:val="28"/>
        </w:rPr>
        <w:t>次会议通知于</w:t>
      </w:r>
      <w:r>
        <w:rPr>
          <w:rFonts w:hint="default"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w:t>
      </w:r>
      <w:r>
        <w:rPr>
          <w:rFonts w:hint="eastAsia" w:eastAsia="仿宋" w:cs="Times New Roman"/>
          <w:sz w:val="28"/>
          <w:szCs w:val="28"/>
          <w:lang w:val="en-US" w:eastAsia="zh-CN"/>
        </w:rPr>
        <w:t>18</w:t>
      </w:r>
      <w:r>
        <w:rPr>
          <w:rFonts w:hint="default" w:ascii="Times New Roman" w:hAnsi="Times New Roman" w:eastAsia="仿宋" w:cs="Times New Roman"/>
          <w:sz w:val="28"/>
          <w:szCs w:val="28"/>
        </w:rPr>
        <w:t>日以</w:t>
      </w:r>
      <w:r>
        <w:rPr>
          <w:rFonts w:hint="default" w:ascii="Times New Roman" w:hAnsi="Times New Roman" w:eastAsia="仿宋" w:cs="Times New Roman"/>
          <w:sz w:val="28"/>
          <w:szCs w:val="28"/>
          <w:lang w:val="en-US" w:eastAsia="zh-CN"/>
        </w:rPr>
        <w:t>电子邮件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书面送达</w:t>
      </w:r>
      <w:r>
        <w:rPr>
          <w:rFonts w:hint="default" w:ascii="Times New Roman" w:hAnsi="Times New Roman" w:eastAsia="仿宋" w:cs="Times New Roman"/>
          <w:sz w:val="28"/>
          <w:szCs w:val="28"/>
          <w:lang w:val="en-US" w:eastAsia="zh-CN"/>
        </w:rPr>
        <w:t>等</w:t>
      </w:r>
      <w:r>
        <w:rPr>
          <w:rFonts w:hint="default" w:ascii="Times New Roman" w:hAnsi="Times New Roman" w:eastAsia="仿宋" w:cs="Times New Roman"/>
          <w:sz w:val="28"/>
          <w:szCs w:val="28"/>
        </w:rPr>
        <w:t>方式发出。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eastAsia" w:ascii="Times New Roman" w:hAnsi="Times New Roman" w:eastAsia="仿宋"/>
          <w:sz w:val="28"/>
          <w:szCs w:val="28"/>
          <w:lang w:val="en-US" w:eastAsia="zh-CN"/>
        </w:rPr>
      </w:pPr>
      <w:r>
        <w:rPr>
          <w:rFonts w:ascii="Times New Roman" w:hAnsi="Times New Roman" w:eastAsia="仿宋"/>
          <w:sz w:val="28"/>
          <w:szCs w:val="28"/>
        </w:rPr>
        <w:t xml:space="preserve">2. </w:t>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28</w:t>
      </w:r>
      <w:r>
        <w:rPr>
          <w:rFonts w:hint="default" w:ascii="Times New Roman" w:hAnsi="Times New Roman" w:eastAsia="仿宋" w:cs="Times New Roman"/>
          <w:sz w:val="28"/>
          <w:szCs w:val="28"/>
        </w:rPr>
        <w:t>日</w:t>
      </w:r>
      <w:r>
        <w:rPr>
          <w:rFonts w:ascii="Times New Roman" w:hAnsi="Times New Roman" w:eastAsia="仿宋"/>
          <w:sz w:val="28"/>
          <w:szCs w:val="28"/>
        </w:rPr>
        <w:t>，第</w:t>
      </w:r>
      <w:r>
        <w:rPr>
          <w:rFonts w:hint="eastAsia" w:ascii="Times New Roman" w:hAnsi="Times New Roman" w:eastAsia="仿宋"/>
          <w:sz w:val="28"/>
          <w:szCs w:val="28"/>
        </w:rPr>
        <w:t>九</w:t>
      </w:r>
      <w:r>
        <w:rPr>
          <w:rFonts w:ascii="Times New Roman" w:hAnsi="Times New Roman" w:eastAsia="仿宋"/>
          <w:sz w:val="28"/>
          <w:szCs w:val="28"/>
        </w:rPr>
        <w:t>届监事会第</w:t>
      </w:r>
      <w:r>
        <w:rPr>
          <w:rFonts w:hint="eastAsia" w:eastAsia="仿宋"/>
          <w:sz w:val="28"/>
          <w:szCs w:val="28"/>
          <w:lang w:val="en-US" w:eastAsia="zh-CN"/>
        </w:rPr>
        <w:t>十</w:t>
      </w:r>
      <w:r>
        <w:rPr>
          <w:rFonts w:ascii="Times New Roman" w:hAnsi="Times New Roman" w:eastAsia="仿宋"/>
          <w:sz w:val="28"/>
          <w:szCs w:val="28"/>
        </w:rPr>
        <w:t>次会议</w:t>
      </w:r>
      <w:r>
        <w:rPr>
          <w:rFonts w:hint="default" w:ascii="Times New Roman" w:hAnsi="Times New Roman" w:eastAsia="仿宋" w:cs="Times New Roman"/>
          <w:sz w:val="28"/>
          <w:szCs w:val="28"/>
          <w:lang w:eastAsia="zh-CN"/>
        </w:rPr>
        <w:t>在</w:t>
      </w:r>
      <w:r>
        <w:rPr>
          <w:rFonts w:hint="eastAsia" w:ascii="Times New Roman" w:hAnsi="Times New Roman" w:eastAsia="仿宋" w:cs="Times New Roman"/>
          <w:sz w:val="28"/>
          <w:szCs w:val="28"/>
          <w:lang w:val="en-US" w:eastAsia="zh-CN"/>
        </w:rPr>
        <w:t>长春市南湖宾馆</w:t>
      </w:r>
      <w:r>
        <w:rPr>
          <w:rFonts w:ascii="Times New Roman" w:hAnsi="Times New Roman" w:eastAsia="仿宋" w:cs="Times New Roman"/>
          <w:sz w:val="28"/>
          <w:szCs w:val="28"/>
          <w:highlight w:val="none"/>
        </w:rPr>
        <w:t>以</w:t>
      </w:r>
      <w:r>
        <w:rPr>
          <w:rFonts w:hint="eastAsia" w:eastAsia="仿宋"/>
          <w:sz w:val="28"/>
          <w:szCs w:val="28"/>
          <w:highlight w:val="none"/>
        </w:rPr>
        <w:t>现场</w:t>
      </w:r>
      <w:bookmarkStart w:id="0" w:name="_GoBack"/>
      <w:bookmarkEnd w:id="0"/>
      <w:r>
        <w:rPr>
          <w:rFonts w:ascii="Times New Roman" w:hAnsi="Times New Roman" w:eastAsia="仿宋" w:cs="Times New Roman"/>
          <w:color w:val="000000"/>
          <w:kern w:val="0"/>
          <w:sz w:val="28"/>
          <w:szCs w:val="28"/>
          <w:highlight w:val="none"/>
        </w:rPr>
        <w:t>方式召开</w:t>
      </w:r>
      <w:r>
        <w:rPr>
          <w:rFonts w:hint="eastAsia" w:ascii="Times New Roman" w:hAnsi="Times New Roman" w:eastAsia="仿宋" w:cs="Times New Roman"/>
          <w:color w:val="000000"/>
          <w:kern w:val="0"/>
          <w:sz w:val="28"/>
          <w:szCs w:val="28"/>
          <w:highlight w:val="none"/>
          <w:lang w:eastAsia="zh-CN"/>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580" w:lineRule="exact"/>
        <w:ind w:firstLine="560" w:firstLineChars="200"/>
        <w:textAlignment w:val="auto"/>
        <w:rPr>
          <w:rFonts w:ascii="Times New Roman" w:hAnsi="Times New Roman" w:eastAsia="仿宋"/>
          <w:color w:val="000000"/>
          <w:kern w:val="0"/>
          <w:sz w:val="28"/>
          <w:szCs w:val="28"/>
        </w:rPr>
      </w:pPr>
      <w:r>
        <w:rPr>
          <w:rFonts w:ascii="Times New Roman" w:hAnsi="Times New Roman" w:eastAsia="仿宋"/>
          <w:sz w:val="28"/>
          <w:szCs w:val="28"/>
          <w:lang w:bidi="ar"/>
        </w:rPr>
        <w:t>3.</w:t>
      </w:r>
      <w:r>
        <w:rPr>
          <w:rFonts w:hint="eastAsia" w:ascii="Times New Roman" w:hAnsi="Times New Roman" w:eastAsia="仿宋" w:cs="仿宋"/>
          <w:color w:val="000000"/>
          <w:kern w:val="0"/>
          <w:sz w:val="28"/>
          <w:szCs w:val="28"/>
          <w:lang w:bidi="ar"/>
        </w:rPr>
        <w:t>公司应参会的监事</w:t>
      </w:r>
      <w:r>
        <w:rPr>
          <w:rFonts w:hint="eastAsia" w:ascii="Times New Roman" w:hAnsi="Times New Roman" w:eastAsia="仿宋"/>
          <w:color w:val="000000"/>
          <w:kern w:val="0"/>
          <w:sz w:val="28"/>
          <w:szCs w:val="28"/>
          <w:lang w:val="en-US" w:eastAsia="zh-CN" w:bidi="ar"/>
        </w:rPr>
        <w:t>4</w:t>
      </w:r>
      <w:r>
        <w:rPr>
          <w:rFonts w:hint="eastAsia" w:ascii="Times New Roman" w:hAnsi="Times New Roman" w:eastAsia="仿宋" w:cs="仿宋"/>
          <w:color w:val="000000"/>
          <w:kern w:val="0"/>
          <w:sz w:val="28"/>
          <w:szCs w:val="28"/>
          <w:lang w:bidi="ar"/>
        </w:rPr>
        <w:t>人，实参会监事</w:t>
      </w:r>
      <w:r>
        <w:rPr>
          <w:rFonts w:hint="eastAsia" w:eastAsia="仿宋"/>
          <w:color w:val="000000"/>
          <w:kern w:val="0"/>
          <w:sz w:val="28"/>
          <w:szCs w:val="28"/>
          <w:lang w:val="en-US" w:eastAsia="zh-CN" w:bidi="ar"/>
        </w:rPr>
        <w:t>4</w:t>
      </w:r>
      <w:r>
        <w:rPr>
          <w:rFonts w:hint="eastAsia" w:ascii="Times New Roman" w:hAnsi="Times New Roman" w:eastAsia="仿宋" w:cs="仿宋"/>
          <w:color w:val="000000"/>
          <w:kern w:val="0"/>
          <w:sz w:val="28"/>
          <w:szCs w:val="28"/>
          <w:lang w:bidi="ar"/>
        </w:rPr>
        <w:t>人</w:t>
      </w:r>
      <w:r>
        <w:rPr>
          <w:rFonts w:hint="eastAsia" w:ascii="Times New Roman" w:hAnsi="Times New Roman" w:eastAsia="仿宋" w:cs="仿宋"/>
          <w:color w:val="000000"/>
          <w:kern w:val="0"/>
          <w:sz w:val="28"/>
          <w:szCs w:val="28"/>
          <w:lang w:eastAsia="zh-CN" w:bidi="ar"/>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80" w:lineRule="exact"/>
        <w:ind w:firstLine="560" w:firstLineChars="200"/>
        <w:jc w:val="left"/>
        <w:textAlignment w:val="auto"/>
        <w:rPr>
          <w:rFonts w:ascii="Times New Roman" w:hAnsi="Times New Roman" w:eastAsia="仿宋_GB2312"/>
          <w:sz w:val="28"/>
          <w:szCs w:val="28"/>
        </w:rPr>
      </w:pPr>
      <w:r>
        <w:rPr>
          <w:rFonts w:hint="eastAsia" w:ascii="Times New Roman" w:hAnsi="Times New Roman" w:eastAsia="仿宋"/>
          <w:color w:val="000000"/>
          <w:kern w:val="0"/>
          <w:sz w:val="28"/>
          <w:szCs w:val="28"/>
        </w:rPr>
        <w:t>4.</w:t>
      </w:r>
      <w:r>
        <w:rPr>
          <w:rFonts w:ascii="Times New Roman" w:hAnsi="Times New Roman" w:eastAsia="仿宋_GB2312"/>
          <w:sz w:val="28"/>
          <w:szCs w:val="28"/>
        </w:rPr>
        <w:t>会议由监事会</w:t>
      </w:r>
      <w:r>
        <w:rPr>
          <w:rFonts w:hint="eastAsia" w:ascii="Times New Roman" w:hAnsi="Times New Roman" w:eastAsia="仿宋_GB2312"/>
          <w:sz w:val="28"/>
          <w:szCs w:val="28"/>
        </w:rPr>
        <w:t>主席徐祖永</w:t>
      </w:r>
      <w:r>
        <w:rPr>
          <w:rFonts w:ascii="Times New Roman" w:hAnsi="Times New Roman" w:eastAsia="仿宋_GB2312"/>
          <w:sz w:val="28"/>
          <w:szCs w:val="28"/>
        </w:rPr>
        <w:t>先生主持。</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hint="eastAsia" w:ascii="Times New Roman" w:hAnsi="Times New Roman" w:eastAsia="仿宋"/>
          <w:sz w:val="28"/>
          <w:szCs w:val="28"/>
        </w:rPr>
        <w:t>5.</w:t>
      </w:r>
      <w:r>
        <w:rPr>
          <w:rFonts w:ascii="Times New Roman" w:hAnsi="Times New Roman" w:eastAsia="仿宋"/>
          <w:sz w:val="28"/>
          <w:szCs w:val="28"/>
        </w:rPr>
        <w:t>出席会议的监事占公司全体监事人数的二分之一以上，符合《公司法》及公司《章程》的规定。</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二、监事会会议审议情况</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Times New Roman"/>
          <w:b/>
          <w:sz w:val="28"/>
          <w:szCs w:val="28"/>
          <w:highlight w:val="none"/>
          <w:lang w:eastAsia="zh-CN"/>
        </w:rPr>
      </w:pPr>
      <w:r>
        <w:rPr>
          <w:rFonts w:hint="default" w:ascii="Times New Roman" w:hAnsi="Times New Roman" w:eastAsia="仿宋" w:cs="Times New Roman"/>
          <w:b/>
          <w:sz w:val="28"/>
          <w:szCs w:val="28"/>
          <w:highlight w:val="none"/>
        </w:rPr>
        <w:t>审议</w:t>
      </w:r>
      <w:r>
        <w:rPr>
          <w:rFonts w:hint="eastAsia" w:ascii="Times New Roman" w:hAnsi="Times New Roman" w:eastAsia="仿宋" w:cs="Times New Roman"/>
          <w:b/>
          <w:sz w:val="28"/>
          <w:szCs w:val="28"/>
          <w:highlight w:val="none"/>
          <w:lang w:eastAsia="zh-CN"/>
        </w:rPr>
        <w:t>《关于公司所属企业拟接受山东核电设备制造有限公司提供风机塔筒供货服务暨关联交易的议案》</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sz w:val="28"/>
          <w:szCs w:val="28"/>
          <w:highlight w:val="none"/>
        </w:rPr>
      </w:pPr>
      <w:r>
        <w:rPr>
          <w:rFonts w:ascii="Times New Roman" w:hAnsi="Times New Roman" w:eastAsia="仿宋"/>
          <w:sz w:val="28"/>
          <w:szCs w:val="28"/>
        </w:rPr>
        <w:t>会议以</w:t>
      </w:r>
      <w:r>
        <w:rPr>
          <w:rFonts w:hint="eastAsia" w:ascii="Times New Roman" w:hAnsi="Times New Roman" w:eastAsia="仿宋"/>
          <w:sz w:val="28"/>
          <w:szCs w:val="28"/>
          <w:lang w:val="en-US" w:eastAsia="zh-CN"/>
        </w:rPr>
        <w:t>4</w:t>
      </w:r>
      <w:r>
        <w:rPr>
          <w:rFonts w:ascii="Times New Roman" w:hAnsi="Times New Roman" w:eastAsia="仿宋"/>
          <w:sz w:val="28"/>
          <w:szCs w:val="28"/>
        </w:rPr>
        <w:t>票赞同、0票反对、0票弃权，审议</w:t>
      </w:r>
      <w:r>
        <w:rPr>
          <w:rFonts w:hint="default" w:ascii="Times New Roman" w:hAnsi="Times New Roman" w:eastAsia="仿宋" w:cs="Times New Roman"/>
          <w:color w:val="000000"/>
          <w:sz w:val="28"/>
          <w:szCs w:val="28"/>
          <w:highlight w:val="none"/>
        </w:rPr>
        <w:t>通过了</w:t>
      </w:r>
      <w:r>
        <w:rPr>
          <w:rFonts w:hint="default" w:ascii="Times New Roman" w:hAnsi="Times New Roman" w:eastAsia="仿宋" w:cs="Times New Roman"/>
          <w:sz w:val="28"/>
          <w:szCs w:val="28"/>
          <w:highlight w:val="none"/>
          <w:lang w:eastAsia="zh-CN"/>
        </w:rPr>
        <w:t>《</w:t>
      </w:r>
      <w:r>
        <w:rPr>
          <w:rFonts w:hint="eastAsia" w:ascii="Times New Roman" w:hAnsi="Times New Roman" w:eastAsia="仿宋" w:cs="Times New Roman"/>
          <w:color w:val="000000"/>
          <w:sz w:val="28"/>
          <w:szCs w:val="28"/>
          <w:highlight w:val="none"/>
          <w:lang w:eastAsia="zh-CN"/>
        </w:rPr>
        <w:t>关于公司所属企业拟接受山东核电设备制造有限公司提供风机塔筒供货服务暨关联交易的议案</w:t>
      </w:r>
      <w:r>
        <w:rPr>
          <w:rFonts w:hint="default" w:ascii="Times New Roman" w:hAnsi="Times New Roman" w:eastAsia="仿宋" w:cs="Times New Roman"/>
          <w:color w:val="000000"/>
          <w:sz w:val="28"/>
          <w:szCs w:val="28"/>
          <w:highlight w:val="none"/>
          <w:lang w:eastAsia="zh-CN"/>
        </w:rPr>
        <w:t>》</w:t>
      </w:r>
      <w:r>
        <w:rPr>
          <w:rFonts w:hint="eastAsia" w:ascii="Times New Roman" w:hAnsi="Times New Roman" w:eastAsia="仿宋" w:cs="仿宋"/>
          <w:sz w:val="28"/>
          <w:szCs w:val="28"/>
        </w:rPr>
        <w:t>，</w:t>
      </w:r>
      <w:r>
        <w:rPr>
          <w:rFonts w:hint="eastAsia" w:ascii="Times New Roman" w:hAnsi="Times New Roman" w:eastAsia="仿宋" w:cs="Times New Roman"/>
          <w:sz w:val="28"/>
          <w:szCs w:val="28"/>
          <w:highlight w:val="none"/>
          <w:lang w:val="en-US" w:eastAsia="zh-CN"/>
        </w:rPr>
        <w:t>同意</w:t>
      </w:r>
      <w:r>
        <w:rPr>
          <w:rFonts w:hint="eastAsia" w:ascii="仿宋" w:hAnsi="仿宋" w:eastAsia="仿宋" w:cs="仿宋"/>
          <w:color w:val="auto"/>
          <w:kern w:val="28"/>
          <w:sz w:val="28"/>
          <w:szCs w:val="28"/>
          <w:highlight w:val="none"/>
        </w:rPr>
        <w:t>公司全资子公司</w:t>
      </w:r>
      <w:r>
        <w:rPr>
          <w:rFonts w:hint="eastAsia" w:ascii="仿宋" w:hAnsi="仿宋" w:eastAsia="仿宋" w:cs="仿宋"/>
          <w:color w:val="auto"/>
          <w:kern w:val="28"/>
          <w:sz w:val="28"/>
          <w:szCs w:val="28"/>
          <w:highlight w:val="none"/>
          <w:lang w:eastAsia="zh-CN"/>
        </w:rPr>
        <w:t>大安吉电绿氢能源有限公司、</w:t>
      </w:r>
      <w:r>
        <w:rPr>
          <w:rFonts w:hint="eastAsia" w:ascii="仿宋" w:hAnsi="仿宋" w:eastAsia="仿宋" w:cs="仿宋"/>
          <w:color w:val="auto"/>
          <w:kern w:val="28"/>
          <w:sz w:val="28"/>
          <w:szCs w:val="28"/>
          <w:highlight w:val="none"/>
          <w:lang w:val="en-US" w:eastAsia="zh-CN"/>
        </w:rPr>
        <w:t>扶余</w:t>
      </w:r>
      <w:r>
        <w:rPr>
          <w:rFonts w:hint="eastAsia" w:ascii="仿宋" w:hAnsi="仿宋" w:eastAsia="仿宋" w:cs="仿宋"/>
          <w:color w:val="auto"/>
          <w:kern w:val="28"/>
          <w:sz w:val="28"/>
          <w:szCs w:val="28"/>
          <w:highlight w:val="none"/>
        </w:rPr>
        <w:t>吉电新能源有限公司</w:t>
      </w:r>
      <w:r>
        <w:rPr>
          <w:rFonts w:hint="eastAsia" w:ascii="仿宋" w:hAnsi="仿宋" w:eastAsia="仿宋" w:cs="仿宋"/>
          <w:color w:val="auto"/>
          <w:kern w:val="28"/>
          <w:sz w:val="28"/>
          <w:szCs w:val="28"/>
          <w:highlight w:val="none"/>
          <w:lang w:eastAsia="zh-CN"/>
        </w:rPr>
        <w:t>、</w:t>
      </w:r>
      <w:r>
        <w:rPr>
          <w:rFonts w:hint="eastAsia" w:ascii="仿宋" w:hAnsi="仿宋" w:eastAsia="仿宋" w:cs="仿宋"/>
          <w:color w:val="auto"/>
          <w:kern w:val="28"/>
          <w:sz w:val="28"/>
          <w:szCs w:val="28"/>
          <w:highlight w:val="none"/>
        </w:rPr>
        <w:t>通榆吉电新能源有限公司接受山东核电设备制造有限公司提供风机</w:t>
      </w:r>
      <w:r>
        <w:rPr>
          <w:rFonts w:hint="eastAsia" w:ascii="仿宋" w:hAnsi="仿宋" w:eastAsia="仿宋" w:cs="仿宋"/>
          <w:color w:val="auto"/>
          <w:kern w:val="28"/>
          <w:sz w:val="28"/>
          <w:szCs w:val="28"/>
          <w:highlight w:val="none"/>
          <w:lang w:eastAsia="zh-CN"/>
        </w:rPr>
        <w:t>塔筒</w:t>
      </w:r>
      <w:r>
        <w:rPr>
          <w:rFonts w:hint="eastAsia" w:ascii="仿宋" w:hAnsi="仿宋" w:eastAsia="仿宋" w:cs="仿宋"/>
          <w:color w:val="auto"/>
          <w:kern w:val="28"/>
          <w:sz w:val="28"/>
          <w:szCs w:val="28"/>
          <w:highlight w:val="none"/>
          <w:lang w:val="en-US" w:eastAsia="zh-CN"/>
        </w:rPr>
        <w:t>供货服务</w:t>
      </w:r>
      <w:r>
        <w:rPr>
          <w:rFonts w:ascii="Times New Roman" w:eastAsia="仿宋" w:cs="Times New Roman"/>
          <w:sz w:val="28"/>
          <w:szCs w:val="28"/>
          <w:highlight w:val="none"/>
        </w:rPr>
        <w:t>，</w:t>
      </w:r>
      <w:r>
        <w:rPr>
          <w:rFonts w:hint="eastAsia" w:ascii="Times New Roman" w:eastAsia="仿宋" w:cs="Times New Roman"/>
          <w:sz w:val="28"/>
          <w:szCs w:val="28"/>
          <w:highlight w:val="none"/>
        </w:rPr>
        <w:t>采购合同总价31,305.19万元</w:t>
      </w:r>
      <w:r>
        <w:rPr>
          <w:rFonts w:ascii="Times New Roman" w:eastAsia="仿宋" w:cs="Times New Roman"/>
          <w:sz w:val="28"/>
          <w:szCs w:val="28"/>
          <w:highlight w:val="none"/>
        </w:rPr>
        <w:t>。</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Times New Roman"/>
          <w:b w:val="0"/>
          <w:bCs/>
          <w:kern w:val="2"/>
          <w:sz w:val="28"/>
          <w:szCs w:val="28"/>
          <w:lang w:val="en-US" w:eastAsia="zh-CN" w:bidi="ar-SA"/>
        </w:rPr>
      </w:pPr>
      <w:r>
        <w:rPr>
          <w:rFonts w:hint="eastAsia" w:ascii="Times New Roman" w:hAnsi="Times New Roman" w:eastAsia="仿宋" w:cs="Times New Roman"/>
          <w:b w:val="0"/>
          <w:bCs/>
          <w:kern w:val="2"/>
          <w:sz w:val="28"/>
          <w:szCs w:val="28"/>
          <w:lang w:val="en-US" w:eastAsia="zh-CN" w:bidi="ar-SA"/>
        </w:rPr>
        <w:t>监事会认为：公司董事会在审议此议案时，关联董事李铁证先生和廖剑波先生履行了回避表决，董事会审议程序符合相关规定，该事项已经独立董事专门会议审议通过</w:t>
      </w:r>
      <w:r>
        <w:rPr>
          <w:rFonts w:hint="eastAsia" w:eastAsia="仿宋" w:cs="Times New Roman"/>
          <w:b w:val="0"/>
          <w:bCs/>
          <w:kern w:val="2"/>
          <w:sz w:val="28"/>
          <w:szCs w:val="28"/>
          <w:lang w:val="en-US" w:eastAsia="zh-CN" w:bidi="ar-SA"/>
        </w:rPr>
        <w:t>。</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具体内容详见同日刊载于《中国证券报》《上海证券报》《证券时报》和巨潮资讯网上的《关于公司所属企业拟接受山东核电设备制造有限公司提供风机塔筒供货服务暨关联交易的公告》（202</w:t>
      </w:r>
      <w:r>
        <w:rPr>
          <w:rFonts w:hint="eastAsia" w:ascii="Times New Roman" w:hAns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-0</w:t>
      </w:r>
      <w:r>
        <w:rPr>
          <w:rFonts w:hint="eastAsia" w:eastAsia="仿宋" w:cs="Times New Roman"/>
          <w:bCs/>
          <w:sz w:val="28"/>
          <w:szCs w:val="28"/>
          <w:highlight w:val="none"/>
          <w:lang w:val="en-US" w:eastAsia="zh-CN"/>
        </w:rPr>
        <w:t>90</w:t>
      </w:r>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eastAsia="zh-CN"/>
        </w:rPr>
        <w:t>。</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三、备查文件</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经与会监事签字并加盖监事会印章的监事会决议。</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sz w:val="28"/>
          <w:szCs w:val="28"/>
        </w:rPr>
      </w:pP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特此公告。</w:t>
      </w:r>
    </w:p>
    <w:p>
      <w:pPr>
        <w:keepNext w:val="0"/>
        <w:keepLines w:val="0"/>
        <w:pageBreakBefore w:val="0"/>
        <w:kinsoku/>
        <w:wordWrap/>
        <w:overflowPunct/>
        <w:topLinePunct w:val="0"/>
        <w:bidi w:val="0"/>
        <w:spacing w:line="580" w:lineRule="exact"/>
        <w:ind w:firstLine="4620" w:firstLineChars="1650"/>
        <w:textAlignment w:val="auto"/>
        <w:rPr>
          <w:rFonts w:hint="eastAsia" w:ascii="Times New Roman" w:hAnsi="Times New Roman" w:eastAsia="仿宋"/>
          <w:sz w:val="28"/>
          <w:szCs w:val="28"/>
        </w:rPr>
      </w:pPr>
    </w:p>
    <w:p>
      <w:pPr>
        <w:keepNext w:val="0"/>
        <w:keepLines w:val="0"/>
        <w:pageBreakBefore w:val="0"/>
        <w:kinsoku/>
        <w:wordWrap/>
        <w:overflowPunct/>
        <w:topLinePunct w:val="0"/>
        <w:bidi w:val="0"/>
        <w:spacing w:line="580" w:lineRule="exact"/>
        <w:ind w:firstLine="4620" w:firstLineChars="1650"/>
        <w:textAlignment w:val="auto"/>
        <w:rPr>
          <w:rFonts w:hint="eastAsia" w:ascii="Times New Roman" w:hAnsi="Times New Roman" w:eastAsia="仿宋"/>
          <w:sz w:val="28"/>
          <w:szCs w:val="28"/>
        </w:rPr>
      </w:pPr>
    </w:p>
    <w:p>
      <w:pPr>
        <w:keepNext w:val="0"/>
        <w:keepLines w:val="0"/>
        <w:pageBreakBefore w:val="0"/>
        <w:kinsoku/>
        <w:wordWrap/>
        <w:overflowPunct/>
        <w:topLinePunct w:val="0"/>
        <w:bidi w:val="0"/>
        <w:spacing w:line="580" w:lineRule="exact"/>
        <w:ind w:firstLine="4620" w:firstLineChars="1650"/>
        <w:textAlignment w:val="auto"/>
        <w:rPr>
          <w:rFonts w:ascii="Times New Roman" w:hAnsi="Times New Roman" w:eastAsia="仿宋"/>
          <w:sz w:val="28"/>
          <w:szCs w:val="28"/>
        </w:rPr>
      </w:pPr>
      <w:r>
        <w:rPr>
          <w:rFonts w:hint="eastAsia" w:ascii="Times New Roman" w:hAnsi="Times New Roman" w:eastAsia="仿宋"/>
          <w:sz w:val="28"/>
          <w:szCs w:val="28"/>
        </w:rPr>
        <w:t>吉</w:t>
      </w:r>
      <w:r>
        <w:rPr>
          <w:rFonts w:ascii="Times New Roman" w:hAnsi="Times New Roman" w:eastAsia="仿宋"/>
          <w:sz w:val="28"/>
          <w:szCs w:val="28"/>
        </w:rPr>
        <w:t>林电力股份有限公司监事会</w:t>
      </w:r>
    </w:p>
    <w:p>
      <w:pPr>
        <w:keepNext w:val="0"/>
        <w:keepLines w:val="0"/>
        <w:pageBreakBefore w:val="0"/>
        <w:tabs>
          <w:tab w:val="left" w:pos="2805"/>
          <w:tab w:val="right" w:pos="8026"/>
        </w:tabs>
        <w:kinsoku/>
        <w:wordWrap/>
        <w:overflowPunct/>
        <w:topLinePunct w:val="0"/>
        <w:bidi w:val="0"/>
        <w:spacing w:line="580" w:lineRule="exact"/>
        <w:jc w:val="left"/>
        <w:textAlignment w:val="auto"/>
        <w:rPr>
          <w:rFonts w:ascii="Times New Roman" w:hAnsi="Times New Roman"/>
        </w:rPr>
      </w:pPr>
      <w:r>
        <w:rPr>
          <w:rFonts w:ascii="Times New Roman" w:hAnsi="Times New Roman" w:eastAsia="仿宋"/>
          <w:sz w:val="28"/>
          <w:szCs w:val="28"/>
        </w:rPr>
        <w:tab/>
      </w:r>
      <w:r>
        <w:rPr>
          <w:rFonts w:ascii="Times New Roman" w:hAnsi="Times New Roman" w:eastAsia="仿宋"/>
          <w:sz w:val="28"/>
          <w:szCs w:val="28"/>
        </w:rPr>
        <w:tab/>
      </w:r>
      <w:r>
        <w:rPr>
          <w:rFonts w:hint="eastAsia" w:eastAsia="仿宋"/>
          <w:sz w:val="28"/>
          <w:szCs w:val="28"/>
          <w:lang w:val="en-US" w:eastAsia="zh-CN"/>
        </w:rPr>
        <w:t xml:space="preserve"> </w:t>
      </w:r>
      <w:r>
        <w:rPr>
          <w:rFonts w:ascii="仿宋" w:hAnsi="仿宋" w:eastAsia="仿宋"/>
          <w:sz w:val="28"/>
          <w:szCs w:val="28"/>
        </w:rPr>
        <w:t>二○二</w:t>
      </w:r>
      <w:r>
        <w:rPr>
          <w:rFonts w:hint="eastAsia" w:ascii="仿宋" w:hAnsi="仿宋" w:eastAsia="仿宋"/>
          <w:sz w:val="28"/>
          <w:szCs w:val="28"/>
        </w:rPr>
        <w:t>三</w:t>
      </w:r>
      <w:r>
        <w:rPr>
          <w:rFonts w:ascii="仿宋" w:hAnsi="仿宋" w:eastAsia="仿宋"/>
          <w:sz w:val="28"/>
          <w:szCs w:val="28"/>
        </w:rPr>
        <w:t>年</w:t>
      </w:r>
      <w:r>
        <w:rPr>
          <w:rFonts w:hint="eastAsia" w:ascii="仿宋" w:hAnsi="仿宋" w:eastAsia="仿宋"/>
          <w:sz w:val="28"/>
          <w:szCs w:val="28"/>
          <w:lang w:val="en-US" w:eastAsia="zh-CN"/>
        </w:rPr>
        <w:t>十二</w:t>
      </w:r>
      <w:r>
        <w:rPr>
          <w:rFonts w:ascii="仿宋" w:hAnsi="仿宋" w:eastAsia="仿宋"/>
          <w:sz w:val="28"/>
          <w:szCs w:val="28"/>
        </w:rPr>
        <w:t>月</w:t>
      </w:r>
      <w:r>
        <w:rPr>
          <w:rFonts w:hint="eastAsia" w:ascii="仿宋" w:hAnsi="仿宋" w:eastAsia="仿宋"/>
          <w:sz w:val="28"/>
          <w:szCs w:val="28"/>
          <w:lang w:val="en-US" w:eastAsia="zh-CN"/>
        </w:rPr>
        <w:t>二十八</w:t>
      </w:r>
      <w:r>
        <w:rPr>
          <w:rFonts w:ascii="仿宋" w:hAnsi="仿宋" w:eastAsia="仿宋"/>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0CDB"/>
    <w:rsid w:val="00035452"/>
    <w:rsid w:val="00035F6F"/>
    <w:rsid w:val="00063A8D"/>
    <w:rsid w:val="000A3C4A"/>
    <w:rsid w:val="000B5D56"/>
    <w:rsid w:val="000C5011"/>
    <w:rsid w:val="000E6514"/>
    <w:rsid w:val="000F734A"/>
    <w:rsid w:val="00134B4B"/>
    <w:rsid w:val="00157C41"/>
    <w:rsid w:val="001A7862"/>
    <w:rsid w:val="0020467F"/>
    <w:rsid w:val="00223111"/>
    <w:rsid w:val="00254885"/>
    <w:rsid w:val="0027644C"/>
    <w:rsid w:val="00294C77"/>
    <w:rsid w:val="002959AD"/>
    <w:rsid w:val="00296099"/>
    <w:rsid w:val="002E0B33"/>
    <w:rsid w:val="003272C8"/>
    <w:rsid w:val="0037231A"/>
    <w:rsid w:val="00417154"/>
    <w:rsid w:val="00435FF7"/>
    <w:rsid w:val="00442FF0"/>
    <w:rsid w:val="004474AC"/>
    <w:rsid w:val="00482ACC"/>
    <w:rsid w:val="004A1979"/>
    <w:rsid w:val="004C0534"/>
    <w:rsid w:val="004E2C25"/>
    <w:rsid w:val="005522CD"/>
    <w:rsid w:val="005B5D55"/>
    <w:rsid w:val="005D77D5"/>
    <w:rsid w:val="005D7A2B"/>
    <w:rsid w:val="005E058B"/>
    <w:rsid w:val="005E6B27"/>
    <w:rsid w:val="005F2F6B"/>
    <w:rsid w:val="00600112"/>
    <w:rsid w:val="0061266F"/>
    <w:rsid w:val="00630AA6"/>
    <w:rsid w:val="006975D6"/>
    <w:rsid w:val="006E047C"/>
    <w:rsid w:val="00773A4B"/>
    <w:rsid w:val="0078109F"/>
    <w:rsid w:val="00782370"/>
    <w:rsid w:val="00786090"/>
    <w:rsid w:val="007A45D4"/>
    <w:rsid w:val="007D1C7B"/>
    <w:rsid w:val="007F501E"/>
    <w:rsid w:val="00806C3C"/>
    <w:rsid w:val="00806E60"/>
    <w:rsid w:val="00821C03"/>
    <w:rsid w:val="00850FCA"/>
    <w:rsid w:val="008B4D38"/>
    <w:rsid w:val="008C7CDA"/>
    <w:rsid w:val="00927840"/>
    <w:rsid w:val="00961D15"/>
    <w:rsid w:val="00965EFA"/>
    <w:rsid w:val="0097169A"/>
    <w:rsid w:val="009902D5"/>
    <w:rsid w:val="00991474"/>
    <w:rsid w:val="009B2060"/>
    <w:rsid w:val="00A16278"/>
    <w:rsid w:val="00A32597"/>
    <w:rsid w:val="00A41462"/>
    <w:rsid w:val="00AA3F7F"/>
    <w:rsid w:val="00AB1C6E"/>
    <w:rsid w:val="00AB699D"/>
    <w:rsid w:val="00AE69E0"/>
    <w:rsid w:val="00AF351C"/>
    <w:rsid w:val="00B128BC"/>
    <w:rsid w:val="00B336D5"/>
    <w:rsid w:val="00BE5F88"/>
    <w:rsid w:val="00BF1DFD"/>
    <w:rsid w:val="00BF4EDD"/>
    <w:rsid w:val="00C029BA"/>
    <w:rsid w:val="00C4476B"/>
    <w:rsid w:val="00C61CAA"/>
    <w:rsid w:val="00CA2548"/>
    <w:rsid w:val="00CF57DB"/>
    <w:rsid w:val="00D00DAA"/>
    <w:rsid w:val="00D07125"/>
    <w:rsid w:val="00D259B3"/>
    <w:rsid w:val="00D61B0A"/>
    <w:rsid w:val="00D8439F"/>
    <w:rsid w:val="00D87228"/>
    <w:rsid w:val="00DE7FE5"/>
    <w:rsid w:val="00DF2967"/>
    <w:rsid w:val="00E06F72"/>
    <w:rsid w:val="00E322E8"/>
    <w:rsid w:val="00E434F4"/>
    <w:rsid w:val="00E867D9"/>
    <w:rsid w:val="00E87057"/>
    <w:rsid w:val="00E968B0"/>
    <w:rsid w:val="00EC38C2"/>
    <w:rsid w:val="00F04D26"/>
    <w:rsid w:val="00F210DE"/>
    <w:rsid w:val="00F34F1E"/>
    <w:rsid w:val="00F41469"/>
    <w:rsid w:val="00F83A50"/>
    <w:rsid w:val="00FA6957"/>
    <w:rsid w:val="00FC7CDD"/>
    <w:rsid w:val="00FD4924"/>
    <w:rsid w:val="01411C55"/>
    <w:rsid w:val="01641BAD"/>
    <w:rsid w:val="01FA3894"/>
    <w:rsid w:val="03BC0CC1"/>
    <w:rsid w:val="046A4330"/>
    <w:rsid w:val="05211E97"/>
    <w:rsid w:val="053C36A1"/>
    <w:rsid w:val="06CE0E6C"/>
    <w:rsid w:val="06E41591"/>
    <w:rsid w:val="08555D85"/>
    <w:rsid w:val="08870C19"/>
    <w:rsid w:val="099B5FE8"/>
    <w:rsid w:val="0A7720BF"/>
    <w:rsid w:val="0AA552A8"/>
    <w:rsid w:val="0B2B47BA"/>
    <w:rsid w:val="0C3D3ECB"/>
    <w:rsid w:val="0E74495A"/>
    <w:rsid w:val="0ED41C1F"/>
    <w:rsid w:val="0F2E4A1B"/>
    <w:rsid w:val="102E0EE3"/>
    <w:rsid w:val="10506974"/>
    <w:rsid w:val="11374CBB"/>
    <w:rsid w:val="118442A0"/>
    <w:rsid w:val="11B42A29"/>
    <w:rsid w:val="12144569"/>
    <w:rsid w:val="12216C8B"/>
    <w:rsid w:val="134157C5"/>
    <w:rsid w:val="1382001C"/>
    <w:rsid w:val="14077BDA"/>
    <w:rsid w:val="1459096F"/>
    <w:rsid w:val="14B36996"/>
    <w:rsid w:val="14EF0946"/>
    <w:rsid w:val="16AC5819"/>
    <w:rsid w:val="177210F4"/>
    <w:rsid w:val="18B7393A"/>
    <w:rsid w:val="19BE287C"/>
    <w:rsid w:val="1A455668"/>
    <w:rsid w:val="1AC739FE"/>
    <w:rsid w:val="1B667887"/>
    <w:rsid w:val="1BF04D1A"/>
    <w:rsid w:val="1C252EBD"/>
    <w:rsid w:val="1E452750"/>
    <w:rsid w:val="1EE61282"/>
    <w:rsid w:val="202538B8"/>
    <w:rsid w:val="203715BC"/>
    <w:rsid w:val="204732C0"/>
    <w:rsid w:val="204F7A20"/>
    <w:rsid w:val="212A32FB"/>
    <w:rsid w:val="214E2A87"/>
    <w:rsid w:val="2237084A"/>
    <w:rsid w:val="224D4BEA"/>
    <w:rsid w:val="237C6B75"/>
    <w:rsid w:val="238B4FEE"/>
    <w:rsid w:val="242A142B"/>
    <w:rsid w:val="251505A8"/>
    <w:rsid w:val="25354C69"/>
    <w:rsid w:val="297D4844"/>
    <w:rsid w:val="2AA50633"/>
    <w:rsid w:val="2BD77A9C"/>
    <w:rsid w:val="2BDC46D9"/>
    <w:rsid w:val="2C782F45"/>
    <w:rsid w:val="2CCA74BB"/>
    <w:rsid w:val="2CF22EAC"/>
    <w:rsid w:val="2D0A4A3C"/>
    <w:rsid w:val="2E524629"/>
    <w:rsid w:val="30141A6E"/>
    <w:rsid w:val="30C71216"/>
    <w:rsid w:val="31F07F7E"/>
    <w:rsid w:val="321A50E9"/>
    <w:rsid w:val="326856A5"/>
    <w:rsid w:val="32E35645"/>
    <w:rsid w:val="32E6467A"/>
    <w:rsid w:val="33AF3B80"/>
    <w:rsid w:val="36051918"/>
    <w:rsid w:val="367029AB"/>
    <w:rsid w:val="374D117B"/>
    <w:rsid w:val="3819561D"/>
    <w:rsid w:val="392D28C0"/>
    <w:rsid w:val="393F36E0"/>
    <w:rsid w:val="3C5477BA"/>
    <w:rsid w:val="3CA345A8"/>
    <w:rsid w:val="3CCC7276"/>
    <w:rsid w:val="3D062DA2"/>
    <w:rsid w:val="3EE96044"/>
    <w:rsid w:val="40643C9B"/>
    <w:rsid w:val="40894472"/>
    <w:rsid w:val="410E5E66"/>
    <w:rsid w:val="41106103"/>
    <w:rsid w:val="41CC7876"/>
    <w:rsid w:val="43145C00"/>
    <w:rsid w:val="433A2396"/>
    <w:rsid w:val="43775F23"/>
    <w:rsid w:val="44A71F58"/>
    <w:rsid w:val="44BA1716"/>
    <w:rsid w:val="44F72DC6"/>
    <w:rsid w:val="45230373"/>
    <w:rsid w:val="45C86AD0"/>
    <w:rsid w:val="46055158"/>
    <w:rsid w:val="4664520C"/>
    <w:rsid w:val="470B543D"/>
    <w:rsid w:val="48E65FE3"/>
    <w:rsid w:val="49713CD0"/>
    <w:rsid w:val="4A2A6880"/>
    <w:rsid w:val="4B732DBE"/>
    <w:rsid w:val="4B8975BB"/>
    <w:rsid w:val="4BEB7797"/>
    <w:rsid w:val="4C0F742A"/>
    <w:rsid w:val="4C3C5E71"/>
    <w:rsid w:val="4D827663"/>
    <w:rsid w:val="4E000611"/>
    <w:rsid w:val="4EF96157"/>
    <w:rsid w:val="4F59499F"/>
    <w:rsid w:val="4F9206E2"/>
    <w:rsid w:val="50E84C2F"/>
    <w:rsid w:val="51344372"/>
    <w:rsid w:val="526818ED"/>
    <w:rsid w:val="531C4FC6"/>
    <w:rsid w:val="54361EF4"/>
    <w:rsid w:val="54B24362"/>
    <w:rsid w:val="54EB0334"/>
    <w:rsid w:val="56A143BE"/>
    <w:rsid w:val="56E25ADD"/>
    <w:rsid w:val="56EA27CC"/>
    <w:rsid w:val="56F53F18"/>
    <w:rsid w:val="574654A4"/>
    <w:rsid w:val="575C141E"/>
    <w:rsid w:val="57981DA5"/>
    <w:rsid w:val="57E312B1"/>
    <w:rsid w:val="58F728F9"/>
    <w:rsid w:val="595D4310"/>
    <w:rsid w:val="599D56DD"/>
    <w:rsid w:val="5A667B77"/>
    <w:rsid w:val="5B304657"/>
    <w:rsid w:val="5B7360CD"/>
    <w:rsid w:val="5B9F4593"/>
    <w:rsid w:val="5BCE4964"/>
    <w:rsid w:val="5C1440BB"/>
    <w:rsid w:val="5D573A29"/>
    <w:rsid w:val="5EE254AC"/>
    <w:rsid w:val="5F1C2907"/>
    <w:rsid w:val="60551C0A"/>
    <w:rsid w:val="609858DB"/>
    <w:rsid w:val="610E7C49"/>
    <w:rsid w:val="6170257C"/>
    <w:rsid w:val="61ED03A7"/>
    <w:rsid w:val="61F54646"/>
    <w:rsid w:val="628400E5"/>
    <w:rsid w:val="64566206"/>
    <w:rsid w:val="64B3073A"/>
    <w:rsid w:val="65C57704"/>
    <w:rsid w:val="675225E6"/>
    <w:rsid w:val="67C970B8"/>
    <w:rsid w:val="698C7DE8"/>
    <w:rsid w:val="6A6B4FBD"/>
    <w:rsid w:val="6CE13DC4"/>
    <w:rsid w:val="6DEA0030"/>
    <w:rsid w:val="6FBC418C"/>
    <w:rsid w:val="70221B36"/>
    <w:rsid w:val="703B260F"/>
    <w:rsid w:val="727E688C"/>
    <w:rsid w:val="73DF75FB"/>
    <w:rsid w:val="762F7ACA"/>
    <w:rsid w:val="7794227D"/>
    <w:rsid w:val="77E777A4"/>
    <w:rsid w:val="78582600"/>
    <w:rsid w:val="7A0C0D93"/>
    <w:rsid w:val="7A93429D"/>
    <w:rsid w:val="7ACA6A42"/>
    <w:rsid w:val="7B472CC2"/>
    <w:rsid w:val="7CEE3D71"/>
    <w:rsid w:val="7D4B16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link w:val="14"/>
    <w:autoRedefine/>
    <w:semiHidden/>
    <w:qFormat/>
    <w:uiPriority w:val="0"/>
    <w:rPr>
      <w:rFonts w:ascii="Tahoma" w:hAnsi="Tahoma" w:eastAsia="Times New Roman"/>
      <w:kern w:val="0"/>
      <w:sz w:val="24"/>
      <w:szCs w:val="20"/>
    </w:rPr>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semiHidden/>
    <w:uiPriority w:val="0"/>
    <w:pPr>
      <w:jc w:val="left"/>
    </w:pPr>
  </w:style>
  <w:style w:type="paragraph" w:styleId="4">
    <w:name w:val="Body Text Indent"/>
    <w:basedOn w:val="1"/>
    <w:next w:val="1"/>
    <w:autoRedefine/>
    <w:qFormat/>
    <w:uiPriority w:val="0"/>
    <w:pPr>
      <w:spacing w:after="120" w:afterLines="0" w:afterAutospacing="0"/>
      <w:ind w:left="420" w:leftChars="200"/>
    </w:pPr>
  </w:style>
  <w:style w:type="paragraph" w:styleId="5">
    <w:name w:val="Date"/>
    <w:basedOn w:val="1"/>
    <w:next w:val="1"/>
    <w:autoRedefine/>
    <w:qFormat/>
    <w:uiPriority w:val="0"/>
    <w:pPr>
      <w:ind w:left="100" w:leftChars="2500"/>
    </w:pPr>
  </w:style>
  <w:style w:type="paragraph" w:styleId="6">
    <w:name w:val="Body Text Indent 2"/>
    <w:basedOn w:val="1"/>
    <w:autoRedefine/>
    <w:qFormat/>
    <w:uiPriority w:val="0"/>
    <w:pPr>
      <w:spacing w:after="120" w:line="480" w:lineRule="auto"/>
      <w:ind w:left="420" w:leftChars="200"/>
    </w:pPr>
    <w:rPr>
      <w:szCs w:val="24"/>
    </w:rPr>
  </w:style>
  <w:style w:type="paragraph" w:styleId="7">
    <w:name w:val="Balloon Text"/>
    <w:basedOn w:val="1"/>
    <w:semiHidden/>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4"/>
    <w:autoRedefine/>
    <w:qFormat/>
    <w:uiPriority w:val="0"/>
    <w:pPr>
      <w:ind w:firstLine="420" w:firstLineChars="200"/>
    </w:pPr>
    <w:rPr>
      <w:rFonts w:ascii="Times New Roman" w:hAnsi="Times New Roman"/>
    </w:rPr>
  </w:style>
  <w:style w:type="paragraph" w:customStyle="1" w:styleId="14">
    <w:name w:val="_Style 9"/>
    <w:basedOn w:val="1"/>
    <w:link w:val="13"/>
    <w:autoRedefine/>
    <w:qFormat/>
    <w:uiPriority w:val="0"/>
    <w:rPr>
      <w:rFonts w:ascii="Tahoma" w:hAnsi="Tahoma" w:eastAsia="Times New Roman"/>
      <w:kern w:val="0"/>
      <w:sz w:val="24"/>
      <w:szCs w:val="20"/>
    </w:rPr>
  </w:style>
  <w:style w:type="character" w:styleId="15">
    <w:name w:val="Strong"/>
    <w:autoRedefine/>
    <w:qFormat/>
    <w:uiPriority w:val="99"/>
    <w:rPr>
      <w:rFonts w:cs="Times New Roman"/>
      <w:b/>
      <w:bCs/>
    </w:rPr>
  </w:style>
  <w:style w:type="character" w:styleId="16">
    <w:name w:val="page number"/>
    <w:autoRedefine/>
    <w:qFormat/>
    <w:uiPriority w:val="0"/>
  </w:style>
  <w:style w:type="character" w:customStyle="1" w:styleId="17">
    <w:name w:val="da1"/>
    <w:autoRedefine/>
    <w:qFormat/>
    <w:uiPriority w:val="0"/>
    <w:rPr>
      <w:rFonts w:hint="default" w:ascii="_x000B__x000C_" w:hAnsi="_x000B__x000C_"/>
      <w:color w:val="000000"/>
      <w:spacing w:val="360"/>
      <w:sz w:val="21"/>
      <w:szCs w:val="21"/>
      <w:u w:val="none"/>
    </w:rPr>
  </w:style>
  <w:style w:type="character" w:customStyle="1" w:styleId="18">
    <w:name w:val="UserStyle_1"/>
    <w:autoRedefine/>
    <w:qFormat/>
    <w:uiPriority w:val="0"/>
    <w:rPr>
      <w:rFonts w:hint="default" w:ascii="Calibri" w:hAnsi="Calibri" w:cs="Calibri"/>
    </w:rPr>
  </w:style>
  <w:style w:type="paragraph" w:customStyle="1" w:styleId="19">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0">
    <w:name w:val="Char Char Char Char"/>
    <w:basedOn w:val="1"/>
    <w:autoRedefine/>
    <w:qFormat/>
    <w:uiPriority w:val="0"/>
    <w:rPr>
      <w:szCs w:val="21"/>
    </w:rPr>
  </w:style>
  <w:style w:type="paragraph" w:customStyle="1" w:styleId="21">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 w:type="paragraph" w:customStyle="1" w:styleId="22">
    <w:name w:val=" Char Char"/>
    <w:basedOn w:val="1"/>
    <w:autoRedefine/>
    <w:qFormat/>
    <w:uiPriority w:val="0"/>
    <w:pPr>
      <w:pageBreakBefore/>
      <w:tabs>
        <w:tab w:val="left" w:pos="432"/>
      </w:tabs>
      <w:ind w:left="432" w:hanging="432"/>
    </w:pPr>
    <w:rPr>
      <w:rFonts w:ascii="Tahoma" w:hAnsi="Tahoma"/>
      <w:sz w:val="24"/>
      <w:szCs w:val="20"/>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Char Char3"/>
    <w:basedOn w:val="1"/>
    <w:autoRedefine/>
    <w:qFormat/>
    <w:uiPriority w:val="0"/>
  </w:style>
  <w:style w:type="paragraph" w:customStyle="1" w:styleId="25">
    <w:name w:val="_Style 3"/>
    <w:basedOn w:val="1"/>
    <w:autoRedefine/>
    <w:qFormat/>
    <w:uiPriority w:val="0"/>
    <w:pPr>
      <w:pageBreakBefore/>
      <w:tabs>
        <w:tab w:val="left" w:pos="432"/>
      </w:tabs>
      <w:ind w:left="432" w:hanging="432"/>
    </w:pPr>
    <w:rPr>
      <w:rFonts w:ascii="Tahoma" w:hAnsi="Tahoma"/>
      <w:sz w:val="24"/>
      <w:szCs w:val="20"/>
    </w:rPr>
  </w:style>
  <w:style w:type="paragraph" w:customStyle="1" w:styleId="26">
    <w:name w:val="_Style 25"/>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4627</Words>
  <Characters>5064</Characters>
  <Lines>36</Lines>
  <Paragraphs>10</Paragraphs>
  <TotalTime>0</TotalTime>
  <ScaleCrop>false</ScaleCrop>
  <LinksUpToDate>false</LinksUpToDate>
  <CharactersWithSpaces>5097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2007-02-01T10:10:00Z</dcterms:created>
  <dc:creator>liuyongping</dc:creator>
  <cp:lastModifiedBy>WPS_1591103659</cp:lastModifiedBy>
  <cp:lastPrinted>2009-03-27T09:12:00Z</cp:lastPrinted>
  <dcterms:modified xsi:type="dcterms:W3CDTF">2023-12-28T07:43:32Z</dcterms:modified>
  <dc:title>证券代码：000875            证券简称：吉电股份              公告编号：2014-062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BECCC69968EA4DF5A78D92550B08C0FC_13</vt:lpwstr>
  </property>
</Properties>
</file>