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color w:val="FF0000"/>
          <w:highlight w:val="none"/>
          <w:lang w:val="en-US" w:eastAsia="zh-CN"/>
        </w:rPr>
      </w:pPr>
      <w:r>
        <w:rPr>
          <w:highlight w:val="none"/>
        </w:rPr>
        <w:t xml:space="preserve">证券代码：000875         </w:t>
      </w:r>
      <w:r>
        <w:rPr>
          <w:rFonts w:hint="eastAsia"/>
          <w:highlight w:val="none"/>
        </w:rPr>
        <w:t xml:space="preserve">  </w:t>
      </w:r>
      <w:r>
        <w:rPr>
          <w:highlight w:val="none"/>
        </w:rPr>
        <w:t xml:space="preserve"> 证券简称：吉电股份       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  公告编号：20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-0</w:t>
      </w:r>
      <w:r>
        <w:rPr>
          <w:rFonts w:hint="eastAsia"/>
          <w:highlight w:val="none"/>
          <w:lang w:val="en-US" w:eastAsia="zh-CN"/>
        </w:rPr>
        <w:t>67</w:t>
      </w:r>
    </w:p>
    <w:p>
      <w:pPr>
        <w:spacing w:line="580" w:lineRule="exact"/>
        <w:jc w:val="left"/>
        <w:rPr>
          <w:rFonts w:hint="eastAsia"/>
          <w:b/>
          <w:sz w:val="44"/>
          <w:szCs w:val="44"/>
          <w:highlight w:val="none"/>
        </w:rPr>
      </w:pPr>
      <w:r>
        <w:rPr>
          <w:color w:val="FF66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6pt;margin-top:3pt;height:1.8pt;width:426.6pt;z-index:251659264;mso-width-relative:page;mso-height-relative:page;" filled="f" stroked="t" coordsize="21600,21600" o:gfxdata="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cN0ONUAAAAHAQAADwAAAAAAAAABACAAAAAiAAAAZHJzL2Rvd25yZXYueG1sUEsB&#10;AhQAFAAAAAgAh07iQFNFbSf4AQAA8AMAAA4AAAAAAAAAAQAgAAAAJAEAAGRycy9lMm9Eb2MueG1s&#10;UEsFBgAAAAAGAAYAWQEAAI4FAAAAAA=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b/>
          <w:sz w:val="40"/>
          <w:szCs w:val="40"/>
          <w:highlight w:val="none"/>
        </w:rPr>
      </w:pPr>
      <w:r>
        <w:rPr>
          <w:rFonts w:hint="eastAsia"/>
          <w:b/>
          <w:sz w:val="40"/>
          <w:szCs w:val="40"/>
          <w:highlight w:val="none"/>
        </w:rPr>
        <w:t>吉林电力股份有限公司</w:t>
      </w:r>
    </w:p>
    <w:p>
      <w:pPr>
        <w:spacing w:line="580" w:lineRule="exact"/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40"/>
          <w:szCs w:val="40"/>
          <w:highlight w:val="none"/>
        </w:rPr>
        <w:t>关于</w:t>
      </w:r>
      <w:r>
        <w:rPr>
          <w:rFonts w:hint="eastAsia"/>
          <w:b/>
          <w:sz w:val="40"/>
          <w:szCs w:val="40"/>
          <w:highlight w:val="none"/>
          <w:lang w:val="en-US" w:eastAsia="zh-CN"/>
        </w:rPr>
        <w:t>召开2023年半年度</w:t>
      </w:r>
      <w:r>
        <w:rPr>
          <w:rFonts w:hint="eastAsia"/>
          <w:b/>
          <w:sz w:val="40"/>
          <w:szCs w:val="40"/>
          <w:highlight w:val="none"/>
        </w:rPr>
        <w:t>业绩说明会的公告</w:t>
      </w:r>
    </w:p>
    <w:p>
      <w:pPr>
        <w:spacing w:line="580" w:lineRule="exact"/>
        <w:ind w:firstLine="562" w:firstLineChars="200"/>
        <w:rPr>
          <w:rFonts w:hAnsi="仿宋" w:eastAsia="仿宋"/>
          <w:b/>
          <w:sz w:val="28"/>
          <w:szCs w:val="28"/>
          <w:highlight w:val="none"/>
        </w:rPr>
      </w:pPr>
    </w:p>
    <w:p>
      <w:pPr>
        <w:spacing w:line="580" w:lineRule="exact"/>
        <w:ind w:firstLine="562" w:firstLineChars="200"/>
        <w:rPr>
          <w:rFonts w:eastAsia="仿宋"/>
          <w:b/>
          <w:sz w:val="28"/>
          <w:szCs w:val="28"/>
          <w:highlight w:val="none"/>
        </w:rPr>
      </w:pPr>
      <w:r>
        <w:rPr>
          <w:rFonts w:hAnsi="仿宋" w:eastAsia="仿宋"/>
          <w:b/>
          <w:sz w:val="28"/>
          <w:szCs w:val="28"/>
          <w:highlight w:val="none"/>
        </w:rPr>
        <w:t>本公司及</w:t>
      </w:r>
      <w:r>
        <w:rPr>
          <w:rFonts w:hint="eastAsia" w:hAnsi="仿宋" w:eastAsia="仿宋"/>
          <w:b/>
          <w:sz w:val="28"/>
          <w:szCs w:val="28"/>
          <w:highlight w:val="none"/>
        </w:rPr>
        <w:t>董</w:t>
      </w:r>
      <w:r>
        <w:rPr>
          <w:rFonts w:hAnsi="仿宋" w:eastAsia="仿宋"/>
          <w:b/>
          <w:sz w:val="28"/>
          <w:szCs w:val="28"/>
          <w:highlight w:val="none"/>
        </w:rPr>
        <w:t>事会全体成员保证公告内容的真实、准确、完整，没有虚假记载、误导性陈述或重大遗漏。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both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62" w:firstLineChars="200"/>
        <w:textAlignment w:val="auto"/>
        <w:rPr>
          <w:rFonts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重要内容提示：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会议召开时间：2023年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月1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日（星期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）1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00-1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0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560" w:firstLineChars="200"/>
        <w:textAlignment w:val="auto"/>
        <w:rPr>
          <w:rFonts w:ascii="Times New Roman" w:hAns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会议召开方式：现场交流</w:t>
      </w:r>
    </w:p>
    <w:p>
      <w:pPr>
        <w:pStyle w:val="2"/>
        <w:numPr>
          <w:ilvl w:val="0"/>
          <w:numId w:val="1"/>
        </w:numPr>
        <w:spacing w:line="580" w:lineRule="exact"/>
        <w:ind w:firstLine="560" w:firstLineChars="200"/>
        <w:rPr>
          <w:rFonts w:hint="eastAsia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召开地点：</w:t>
      </w:r>
      <w:r>
        <w:rPr>
          <w:rFonts w:hint="eastAsia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吉林省长春市高新益田福朋喜来登酒店5+4会议室</w:t>
      </w:r>
    </w:p>
    <w:p>
      <w:pPr>
        <w:pStyle w:val="2"/>
        <w:numPr>
          <w:ilvl w:val="-1"/>
          <w:numId w:val="0"/>
        </w:numPr>
        <w:spacing w:line="580" w:lineRule="exact"/>
        <w:ind w:firstLine="0" w:firstLineChars="0"/>
        <w:rPr>
          <w:rFonts w:hint="default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业绩说明会类型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吉林电力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股份有限公司（以下简称“公司”）于2023年8月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日在《中国证券报》《上海证券报》《证券时报》及巨潮资讯网上披露《2023年半年度报告》全文及摘要等相关公告，为便于广大投资者更全面深入地了解公司经营情况，公司决定通过现场交流的形式举办本次半年度业绩说明会，就投资者关心的问题进行互动交流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业绩说明会召开的时间及地点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召开时间：2023年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月1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日（星期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）1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:00-1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0</w:t>
      </w:r>
    </w:p>
    <w:p>
      <w:pPr>
        <w:pStyle w:val="2"/>
        <w:spacing w:line="600" w:lineRule="exact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召开地点：</w:t>
      </w:r>
      <w:r>
        <w:rPr>
          <w:rFonts w:hint="eastAsia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吉林省长春市高新益田福朋喜来登酒店5+4会议室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参会嘉宾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公司董事长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才延福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先生、董事/总经理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牛国君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先生、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总会计师谢晶先生、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董事会秘书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刘爽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先生、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经营总监郑林先生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（如遇特殊情况，参会人员将会调整）。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投资者问题征集及方式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为充分尊重投资者、广泛听取投资者的意见和建议，现就公司2023年半年度业绩说明会提前向投资者公开征集问题。欢迎广大投资者于2023年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日（星期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）1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:00前将关注的问题通过电子邮件的形式发送至公司邮箱jdgf@spic.com.cn。公司将在本次业绩说明会上，在信息披露允许范围内，对投资者普遍关注的问题进行回答。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投资者报名方式及联系人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报名方式：本次业绩说明会采用实名制。请拟参与本次业绩说明会的投资者于2023年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日（星期</w:t>
      </w: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）1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:00前通过邮件的形式，将参会回执（详见附件）及身份证复印件发送至公司邮箱jdgf@spic.com.cn进行预约登记。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联系人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 xml:space="preserve">高雪  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电话：04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81150933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其他事项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因场地限制，公司将适当限定现场参会人数。预约报名成功的投资者，将收到参会短信通知。届时请于2023年9月12日（星期二）下午14:45前到达会场，凭参会短信办理登记手续。个人投资者请携带本人身份证原件及复印件，机构投资者携带机构相关证明文件及其复印件，公司将对上述证明性文件进行查验并存档，以备监管机构查阅。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公司将按照深圳证券交易所的规定，做好活动接待的登记及《承诺书》的签署，参会人员核验身份并签署《承诺书》后进入会场，参与本次业绩说明会。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参会人员食宿及交通等费用自理。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欢迎广大投资者积极参与本次业绩说明会。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附件：吉电股份2023年半年度业绩说明会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参会回执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  <w:r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  <w:t>特此公告。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color w:val="auto"/>
          <w:kern w:val="2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jc w:val="right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cs="Times New Roman"/>
          <w:color w:val="auto"/>
          <w:kern w:val="2"/>
          <w:highlight w:val="none"/>
        </w:rPr>
        <w:t xml:space="preserve">            </w:t>
      </w:r>
      <w:r>
        <w:rPr>
          <w:highlight w:val="none"/>
        </w:rPr>
        <w:t xml:space="preserve">      </w:t>
      </w:r>
      <w:r>
        <w:rPr>
          <w:rFonts w:hint="eastAsia"/>
          <w:highlight w:val="none"/>
        </w:rPr>
        <w:t xml:space="preserve">            </w:t>
      </w:r>
      <w:r>
        <w:rPr>
          <w:rFonts w:ascii="仿宋" w:hAnsi="仿宋" w:eastAsia="仿宋"/>
          <w:sz w:val="28"/>
          <w:szCs w:val="28"/>
          <w:highlight w:val="none"/>
        </w:rPr>
        <w:t>吉林电力股份有限公司</w:t>
      </w:r>
      <w:r>
        <w:rPr>
          <w:rFonts w:hint="eastAsia" w:ascii="仿宋" w:hAnsi="仿宋" w:eastAsia="仿宋"/>
          <w:sz w:val="28"/>
          <w:szCs w:val="28"/>
          <w:highlight w:val="none"/>
        </w:rPr>
        <w:t>董</w:t>
      </w:r>
      <w:r>
        <w:rPr>
          <w:rFonts w:ascii="仿宋" w:hAnsi="仿宋" w:eastAsia="仿宋"/>
          <w:sz w:val="28"/>
          <w:szCs w:val="28"/>
          <w:highlight w:val="none"/>
        </w:rPr>
        <w:t>事会</w:t>
      </w:r>
    </w:p>
    <w:p>
      <w:pPr>
        <w:keepNext w:val="0"/>
        <w:keepLines w:val="0"/>
        <w:pageBreakBefore w:val="0"/>
        <w:widowControl w:val="0"/>
        <w:tabs>
          <w:tab w:val="left" w:pos="4690"/>
          <w:tab w:val="right" w:pos="8026"/>
        </w:tabs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                               </w:t>
      </w:r>
      <w:r>
        <w:rPr>
          <w:rFonts w:ascii="仿宋" w:hAnsi="仿宋" w:eastAsia="仿宋"/>
          <w:sz w:val="28"/>
          <w:szCs w:val="28"/>
          <w:highlight w:val="none"/>
        </w:rPr>
        <w:t>二○二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三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九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五</w:t>
      </w:r>
      <w:r>
        <w:rPr>
          <w:rFonts w:ascii="仿宋" w:hAnsi="仿宋" w:eastAsia="仿宋"/>
          <w:sz w:val="28"/>
          <w:szCs w:val="28"/>
          <w:highlight w:val="none"/>
        </w:rPr>
        <w:t>日</w:t>
      </w:r>
    </w:p>
    <w:p>
      <w:pPr>
        <w:pStyle w:val="2"/>
        <w:spacing w:line="600" w:lineRule="exact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  <w:t>附件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2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eastAsia="仿宋" w:cs="Times New Roman"/>
          <w:b/>
          <w:bCs/>
          <w:color w:val="auto"/>
          <w:kern w:val="2"/>
          <w:sz w:val="36"/>
          <w:szCs w:val="36"/>
          <w:highlight w:val="none"/>
          <w:lang w:val="en-US" w:eastAsia="zh-CN"/>
        </w:rPr>
        <w:t>吉电股份2023年半年度业绩说明会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highlight w:val="none"/>
          <w:lang w:val="en-US" w:eastAsia="zh-CN"/>
        </w:rPr>
        <w:t>参会回执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70"/>
        <w:gridCol w:w="1115"/>
        <w:gridCol w:w="2179"/>
        <w:gridCol w:w="140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1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7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140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3" w:type="dxa"/>
          </w:tcPr>
          <w:p>
            <w:pPr>
              <w:pStyle w:val="2"/>
              <w:ind w:left="0" w:leftChars="0" w:firstLine="280" w:firstLineChars="100"/>
              <w:jc w:val="both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13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13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13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13" w:type="dxa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2"/>
        <w:rPr>
          <w:rFonts w:ascii="仿宋" w:hAnsi="仿宋" w:eastAsia="仿宋"/>
          <w:sz w:val="28"/>
          <w:szCs w:val="28"/>
          <w:highlight w:val="none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2794C"/>
    <w:multiLevelType w:val="singleLevel"/>
    <w:tmpl w:val="91D279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2BC8A2"/>
    <w:multiLevelType w:val="singleLevel"/>
    <w:tmpl w:val="CA2BC8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EDF290"/>
    <w:multiLevelType w:val="singleLevel"/>
    <w:tmpl w:val="11EDF2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4ADAD0"/>
    <w:multiLevelType w:val="singleLevel"/>
    <w:tmpl w:val="6E4ADA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1161C"/>
    <w:rsid w:val="000648D4"/>
    <w:rsid w:val="00072FA6"/>
    <w:rsid w:val="00084D91"/>
    <w:rsid w:val="000A3C4A"/>
    <w:rsid w:val="000B5D56"/>
    <w:rsid w:val="000C5011"/>
    <w:rsid w:val="000C666C"/>
    <w:rsid w:val="000F71C6"/>
    <w:rsid w:val="000F734A"/>
    <w:rsid w:val="00134B4B"/>
    <w:rsid w:val="00157C41"/>
    <w:rsid w:val="001B3CED"/>
    <w:rsid w:val="001D70F8"/>
    <w:rsid w:val="00223111"/>
    <w:rsid w:val="002959AD"/>
    <w:rsid w:val="00296099"/>
    <w:rsid w:val="002A5013"/>
    <w:rsid w:val="0033452D"/>
    <w:rsid w:val="00374277"/>
    <w:rsid w:val="00375804"/>
    <w:rsid w:val="00391DAA"/>
    <w:rsid w:val="0041097A"/>
    <w:rsid w:val="00420423"/>
    <w:rsid w:val="00435FF7"/>
    <w:rsid w:val="004828D3"/>
    <w:rsid w:val="00482ACC"/>
    <w:rsid w:val="004978EF"/>
    <w:rsid w:val="004B6DAC"/>
    <w:rsid w:val="004C0534"/>
    <w:rsid w:val="004C352C"/>
    <w:rsid w:val="004C6BC5"/>
    <w:rsid w:val="004E2C25"/>
    <w:rsid w:val="004E610F"/>
    <w:rsid w:val="0052248F"/>
    <w:rsid w:val="005307C9"/>
    <w:rsid w:val="005522CD"/>
    <w:rsid w:val="00553855"/>
    <w:rsid w:val="00580A54"/>
    <w:rsid w:val="005D22DD"/>
    <w:rsid w:val="005D77D5"/>
    <w:rsid w:val="005F0476"/>
    <w:rsid w:val="005F2F6B"/>
    <w:rsid w:val="005F6865"/>
    <w:rsid w:val="006378F8"/>
    <w:rsid w:val="00642A5A"/>
    <w:rsid w:val="006648B4"/>
    <w:rsid w:val="0068090C"/>
    <w:rsid w:val="006975D6"/>
    <w:rsid w:val="006B3F7D"/>
    <w:rsid w:val="006C150F"/>
    <w:rsid w:val="00714D60"/>
    <w:rsid w:val="00773A4B"/>
    <w:rsid w:val="007D1C7B"/>
    <w:rsid w:val="007D704B"/>
    <w:rsid w:val="007F23B7"/>
    <w:rsid w:val="00806C3C"/>
    <w:rsid w:val="008150BB"/>
    <w:rsid w:val="0083706E"/>
    <w:rsid w:val="00852A25"/>
    <w:rsid w:val="0085639C"/>
    <w:rsid w:val="008A2652"/>
    <w:rsid w:val="008B1C3F"/>
    <w:rsid w:val="008B4D38"/>
    <w:rsid w:val="008C7CDA"/>
    <w:rsid w:val="00906801"/>
    <w:rsid w:val="009124C5"/>
    <w:rsid w:val="00927840"/>
    <w:rsid w:val="00965EFA"/>
    <w:rsid w:val="0097169A"/>
    <w:rsid w:val="00971EA1"/>
    <w:rsid w:val="009902D5"/>
    <w:rsid w:val="009B2060"/>
    <w:rsid w:val="009E4525"/>
    <w:rsid w:val="00A32597"/>
    <w:rsid w:val="00A646E5"/>
    <w:rsid w:val="00AC14D3"/>
    <w:rsid w:val="00AD778E"/>
    <w:rsid w:val="00AE69E0"/>
    <w:rsid w:val="00AF351C"/>
    <w:rsid w:val="00B128BC"/>
    <w:rsid w:val="00B21095"/>
    <w:rsid w:val="00B53BAF"/>
    <w:rsid w:val="00BC0CAB"/>
    <w:rsid w:val="00BC1704"/>
    <w:rsid w:val="00BE5F88"/>
    <w:rsid w:val="00BE77B6"/>
    <w:rsid w:val="00BF4EDD"/>
    <w:rsid w:val="00C029BA"/>
    <w:rsid w:val="00C46F5F"/>
    <w:rsid w:val="00CA2548"/>
    <w:rsid w:val="00CF57DB"/>
    <w:rsid w:val="00D06248"/>
    <w:rsid w:val="00D07125"/>
    <w:rsid w:val="00D61B0A"/>
    <w:rsid w:val="00D75838"/>
    <w:rsid w:val="00D7665E"/>
    <w:rsid w:val="00D86D8F"/>
    <w:rsid w:val="00D87228"/>
    <w:rsid w:val="00DB3F13"/>
    <w:rsid w:val="00DC0181"/>
    <w:rsid w:val="00DC5427"/>
    <w:rsid w:val="00DD23E8"/>
    <w:rsid w:val="00DD6770"/>
    <w:rsid w:val="00E24F38"/>
    <w:rsid w:val="00E322E8"/>
    <w:rsid w:val="00E66034"/>
    <w:rsid w:val="00E867D9"/>
    <w:rsid w:val="00E87057"/>
    <w:rsid w:val="00E91672"/>
    <w:rsid w:val="00EA1FDA"/>
    <w:rsid w:val="00EC38C2"/>
    <w:rsid w:val="00EC40D1"/>
    <w:rsid w:val="00EE0DB1"/>
    <w:rsid w:val="00EE16C1"/>
    <w:rsid w:val="00EF5FD8"/>
    <w:rsid w:val="00F04D26"/>
    <w:rsid w:val="00F34F1E"/>
    <w:rsid w:val="00F41469"/>
    <w:rsid w:val="00F9275B"/>
    <w:rsid w:val="00FC7CDD"/>
    <w:rsid w:val="00FD233C"/>
    <w:rsid w:val="01515FF1"/>
    <w:rsid w:val="01886592"/>
    <w:rsid w:val="024E3967"/>
    <w:rsid w:val="03AF2C79"/>
    <w:rsid w:val="06374443"/>
    <w:rsid w:val="08647852"/>
    <w:rsid w:val="096B4234"/>
    <w:rsid w:val="09841289"/>
    <w:rsid w:val="10E6346F"/>
    <w:rsid w:val="117A2EF1"/>
    <w:rsid w:val="12390CDF"/>
    <w:rsid w:val="127D1BE6"/>
    <w:rsid w:val="13D274EE"/>
    <w:rsid w:val="20350A51"/>
    <w:rsid w:val="2163090F"/>
    <w:rsid w:val="21837E63"/>
    <w:rsid w:val="2CE1604E"/>
    <w:rsid w:val="30F430ED"/>
    <w:rsid w:val="3456789A"/>
    <w:rsid w:val="377D56BF"/>
    <w:rsid w:val="39F85F98"/>
    <w:rsid w:val="3B46061D"/>
    <w:rsid w:val="3EFE4C27"/>
    <w:rsid w:val="4099201E"/>
    <w:rsid w:val="4109473E"/>
    <w:rsid w:val="427B65E6"/>
    <w:rsid w:val="47211E55"/>
    <w:rsid w:val="474852AC"/>
    <w:rsid w:val="47566D17"/>
    <w:rsid w:val="4AB51D28"/>
    <w:rsid w:val="4FB10B24"/>
    <w:rsid w:val="51925C52"/>
    <w:rsid w:val="55C41309"/>
    <w:rsid w:val="59DF5830"/>
    <w:rsid w:val="5A1E0819"/>
    <w:rsid w:val="5CC6060E"/>
    <w:rsid w:val="5D503B6B"/>
    <w:rsid w:val="606E0716"/>
    <w:rsid w:val="61020A75"/>
    <w:rsid w:val="635975A8"/>
    <w:rsid w:val="671F486C"/>
    <w:rsid w:val="6B5B3B85"/>
    <w:rsid w:val="6CAC6102"/>
    <w:rsid w:val="6D207054"/>
    <w:rsid w:val="71BC0CF6"/>
    <w:rsid w:val="72914E8F"/>
    <w:rsid w:val="7350272E"/>
    <w:rsid w:val="76DA0AE2"/>
    <w:rsid w:val="77456B25"/>
    <w:rsid w:val="79885928"/>
    <w:rsid w:val="7E05415C"/>
    <w:rsid w:val="7FFD1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_GB2312" w:cs="宋体"/>
      <w:kern w:val="0"/>
      <w:sz w:val="24"/>
      <w:lang w:bidi="bn-IN"/>
    </w:rPr>
  </w:style>
  <w:style w:type="table" w:styleId="11">
    <w:name w:val="Table Grid"/>
    <w:basedOn w:val="1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da1"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paragraph" w:customStyle="1" w:styleId="16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"/>
    <w:basedOn w:val="1"/>
    <w:qFormat/>
    <w:uiPriority w:val="0"/>
    <w:rPr>
      <w:szCs w:val="21"/>
    </w:rPr>
  </w:style>
  <w:style w:type="paragraph" w:customStyle="1" w:styleId="19">
    <w:name w:val="_Style 4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0">
    <w:name w:val=" 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1031</Words>
  <Characters>1158</Characters>
  <Lines>4</Lines>
  <Paragraphs>1</Paragraphs>
  <TotalTime>4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2007-02-01T10:10:00Z</dcterms:created>
  <dc:creator>liuyongping</dc:creator>
  <cp:lastModifiedBy>WPS_1591103659</cp:lastModifiedBy>
  <cp:lastPrinted>2021-05-10T06:20:00Z</cp:lastPrinted>
  <dcterms:modified xsi:type="dcterms:W3CDTF">2023-09-05T07:56:48Z</dcterms:modified>
  <dc:title>证券代码：000875            证券简称：吉电股份              公告编号：2014-062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B064BAC80D98425793769CDB1BDE7A90_13</vt:lpwstr>
  </property>
</Properties>
</file>