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ind w:left="0"/>
        <w:textAlignment w:val="auto"/>
        <w:rPr>
          <w:rFonts w:hint="default" w:ascii="Times New Roman" w:hAnsi="Times New Roman" w:eastAsia="宋体"/>
          <w:highlight w:val="none"/>
          <w:u w:val="single"/>
          <w:lang w:val="en-US" w:eastAsia="zh-CN"/>
        </w:rPr>
      </w:pPr>
      <w:r>
        <w:rPr>
          <w:rFonts w:ascii="Times New Roman" w:hAnsi="Times New Roman"/>
        </w:rPr>
        <w:t xml:space="preserve">证券代码：000875         </w:t>
      </w:r>
      <w:r>
        <w:rPr>
          <w:rFonts w:hint="eastAsia" w:ascii="Times New Roman" w:hAnsi="Times New Roman"/>
        </w:rPr>
        <w:t xml:space="preserve">  </w:t>
      </w:r>
      <w:r>
        <w:rPr>
          <w:rFonts w:ascii="Times New Roman" w:hAnsi="Times New Roman"/>
        </w:rPr>
        <w:t xml:space="preserve"> 证券简称：吉电股份       </w:t>
      </w:r>
      <w:r>
        <w:rPr>
          <w:rFonts w:hint="eastAsia" w:ascii="Times New Roman" w:hAnsi="Times New Roman"/>
        </w:rPr>
        <w:t xml:space="preserve"> </w:t>
      </w:r>
      <w:r>
        <w:rPr>
          <w:rFonts w:ascii="Times New Roman" w:hAnsi="Times New Roman"/>
        </w:rPr>
        <w:t xml:space="preserve">      公告编号</w:t>
      </w:r>
      <w:r>
        <w:rPr>
          <w:rFonts w:ascii="Times New Roman" w:hAnsi="Times New Roman"/>
          <w:highlight w:val="none"/>
        </w:rPr>
        <w:t>：20</w:t>
      </w:r>
      <w:r>
        <w:rPr>
          <w:rFonts w:hint="eastAsia" w:ascii="Times New Roman" w:hAnsi="Times New Roman"/>
          <w:highlight w:val="none"/>
        </w:rPr>
        <w:t>2</w:t>
      </w:r>
      <w:r>
        <w:rPr>
          <w:rFonts w:hint="eastAsia"/>
          <w:highlight w:val="none"/>
          <w:lang w:val="en-US" w:eastAsia="zh-CN"/>
        </w:rPr>
        <w:t>3</w:t>
      </w:r>
      <w:r>
        <w:rPr>
          <w:rFonts w:hint="eastAsia" w:ascii="Times New Roman" w:hAnsi="Times New Roman"/>
          <w:highlight w:val="none"/>
        </w:rPr>
        <w:t>-</w:t>
      </w:r>
      <w:r>
        <w:rPr>
          <w:rFonts w:hint="eastAsia"/>
          <w:highlight w:val="none"/>
          <w:lang w:val="en-US" w:eastAsia="zh-CN"/>
        </w:rPr>
        <w:t>055</w:t>
      </w:r>
    </w:p>
    <w:p>
      <w:pPr>
        <w:keepNext w:val="0"/>
        <w:keepLines w:val="0"/>
        <w:pageBreakBefore w:val="0"/>
        <w:kinsoku/>
        <w:wordWrap/>
        <w:overflowPunct/>
        <w:topLinePunct w:val="0"/>
        <w:bidi w:val="0"/>
        <w:snapToGrid/>
        <w:spacing w:line="560" w:lineRule="exact"/>
        <w:ind w:left="0"/>
        <w:jc w:val="both"/>
        <w:textAlignment w:val="auto"/>
      </w:pPr>
      <w:r>
        <w:rPr>
          <w:rFonts w:ascii="Times New Roman" w:hAnsi="Times New Roman"/>
          <w:color w:val="FF6600"/>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17780</wp:posOffset>
                </wp:positionV>
                <wp:extent cx="5417820" cy="22860"/>
                <wp:effectExtent l="0" t="28575" r="7620" b="40005"/>
                <wp:wrapNone/>
                <wp:docPr id="1" name="直接连接符 1"/>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8.4pt;margin-top:1.4pt;height:1.8pt;width:426.6pt;z-index:251659264;mso-width-relative:page;mso-height-relative:page;" filled="f" stroked="t" coordsize="21600,21600" o:gfxdata="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dze3l1AAAAAcBAAAPAAAAAAAAAAEAIAAAACIAAABk&#10;cnMvZG93bnJldi54bWxQSwECFAAUAAAACACHTuJAlzls4QoCAAAHBAAADgAAAAAAAAABACAAAAAj&#10;AQAAZHJzL2Uyb0RvYy54bWxQSwUGAAAAAAYABgBZAQAAnwUAAAAA&#10;">
                <v:fill on="f" focussize="0,0"/>
                <v:stroke weight="4.5pt" color="#FF6600" linestyle="thinThick" joinstyle="round"/>
                <v:imagedata o:title=""/>
                <o:lock v:ext="edit" aspectratio="f"/>
              </v:line>
            </w:pict>
          </mc:Fallback>
        </mc:AlternateContent>
      </w:r>
    </w:p>
    <w:p>
      <w:pPr>
        <w:keepNext w:val="0"/>
        <w:keepLines w:val="0"/>
        <w:pageBreakBefore w:val="0"/>
        <w:kinsoku/>
        <w:wordWrap/>
        <w:overflowPunct/>
        <w:topLinePunct w:val="0"/>
        <w:bidi w:val="0"/>
        <w:snapToGrid/>
        <w:spacing w:line="560" w:lineRule="exact"/>
        <w:ind w:left="0"/>
        <w:jc w:val="center"/>
        <w:textAlignment w:val="auto"/>
        <w:rPr>
          <w:rFonts w:ascii="Times New Roman" w:hAnsi="Times New Roman"/>
          <w:b/>
          <w:sz w:val="44"/>
          <w:szCs w:val="44"/>
        </w:rPr>
      </w:pPr>
      <w:r>
        <w:rPr>
          <w:rFonts w:ascii="Times New Roman" w:hAnsi="Times New Roman"/>
          <w:b/>
          <w:sz w:val="44"/>
          <w:szCs w:val="44"/>
        </w:rPr>
        <w:t>吉林电力股份有限公司</w:t>
      </w:r>
    </w:p>
    <w:p>
      <w:pPr>
        <w:keepNext w:val="0"/>
        <w:keepLines w:val="0"/>
        <w:pageBreakBefore w:val="0"/>
        <w:kinsoku/>
        <w:wordWrap/>
        <w:overflowPunct/>
        <w:topLinePunct w:val="0"/>
        <w:bidi w:val="0"/>
        <w:snapToGrid/>
        <w:spacing w:line="560" w:lineRule="exact"/>
        <w:ind w:left="0"/>
        <w:jc w:val="center"/>
        <w:textAlignment w:val="auto"/>
        <w:rPr>
          <w:rFonts w:hint="eastAsia" w:ascii="黑体" w:hAnsi="宋体" w:eastAsia="黑体" w:cs="黑体"/>
          <w:b/>
          <w:bCs/>
          <w:color w:val="000000"/>
          <w:kern w:val="0"/>
          <w:sz w:val="32"/>
          <w:szCs w:val="32"/>
          <w:lang w:val="en-US" w:eastAsia="zh-CN" w:bidi="ar"/>
        </w:rPr>
      </w:pPr>
      <w:r>
        <w:rPr>
          <w:rFonts w:hint="eastAsia" w:ascii="Times New Roman" w:hAnsi="Times New Roman"/>
          <w:b/>
          <w:sz w:val="44"/>
          <w:szCs w:val="44"/>
          <w:lang w:val="en-US" w:eastAsia="zh-CN"/>
        </w:rPr>
        <w:t>关于收到深圳证券交易所《关于吉林电力股份有限公司申请向特定对象发行股票的审核中心意见告知函》的公告</w:t>
      </w:r>
    </w:p>
    <w:p>
      <w:pPr>
        <w:pStyle w:val="4"/>
        <w:keepNext w:val="0"/>
        <w:keepLines w:val="0"/>
        <w:pageBreakBefore w:val="0"/>
        <w:kinsoku/>
        <w:wordWrap/>
        <w:overflowPunct/>
        <w:topLinePunct w:val="0"/>
        <w:bidi w:val="0"/>
        <w:snapToGrid/>
        <w:spacing w:line="560" w:lineRule="exact"/>
        <w:ind w:left="0"/>
        <w:textAlignment w:val="auto"/>
      </w:pP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 w:hAnsi="仿宋" w:eastAsia="仿宋"/>
          <w:b/>
          <w:sz w:val="28"/>
          <w:szCs w:val="28"/>
        </w:rPr>
      </w:pPr>
      <w:r>
        <w:rPr>
          <w:rFonts w:hint="eastAsia" w:ascii="仿宋" w:hAnsi="仿宋" w:eastAsia="仿宋"/>
          <w:b/>
          <w:sz w:val="28"/>
          <w:szCs w:val="28"/>
        </w:rPr>
        <w:t>本公司及董事会全体成员保证信息披露的内容真实、准确、完整，没有虚假记载、误导性陈述或重大遗漏。</w:t>
      </w:r>
    </w:p>
    <w:p>
      <w:pPr>
        <w:keepNext w:val="0"/>
        <w:keepLines w:val="0"/>
        <w:pageBreakBefore w:val="0"/>
        <w:kinsoku/>
        <w:wordWrap/>
        <w:overflowPunct/>
        <w:topLinePunct w:val="0"/>
        <w:bidi w:val="0"/>
        <w:snapToGrid/>
        <w:spacing w:line="560" w:lineRule="exact"/>
        <w:ind w:left="0"/>
        <w:textAlignment w:val="auto"/>
        <w:rPr>
          <w:lang w:val="en-US" w:eastAsia="zh-CN"/>
        </w:rPr>
      </w:pP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吉林电力股份有限公司（以下简称“公司”）于</w:t>
      </w:r>
      <w:r>
        <w:rPr>
          <w:rFonts w:hint="default" w:ascii="仿宋" w:hAnsi="仿宋" w:eastAsia="仿宋" w:cs="仿宋"/>
          <w:color w:val="000000"/>
          <w:kern w:val="0"/>
          <w:sz w:val="28"/>
          <w:szCs w:val="28"/>
          <w:lang w:val="en-US" w:eastAsia="zh-CN" w:bidi="ar"/>
        </w:rPr>
        <w:t>2023年</w:t>
      </w:r>
      <w:r>
        <w:rPr>
          <w:rFonts w:hint="eastAsia" w:ascii="仿宋" w:hAnsi="仿宋" w:eastAsia="仿宋" w:cs="仿宋"/>
          <w:color w:val="000000"/>
          <w:kern w:val="0"/>
          <w:sz w:val="28"/>
          <w:szCs w:val="28"/>
          <w:lang w:val="en-US" w:eastAsia="zh-CN" w:bidi="ar"/>
        </w:rPr>
        <w:t>7</w:t>
      </w:r>
      <w:r>
        <w:rPr>
          <w:rFonts w:hint="default" w:ascii="仿宋" w:hAnsi="仿宋" w:eastAsia="仿宋" w:cs="仿宋"/>
          <w:color w:val="000000"/>
          <w:kern w:val="0"/>
          <w:sz w:val="28"/>
          <w:szCs w:val="28"/>
          <w:lang w:val="en-US" w:eastAsia="zh-CN" w:bidi="ar"/>
        </w:rPr>
        <w:t>月</w:t>
      </w:r>
      <w:r>
        <w:rPr>
          <w:rFonts w:hint="eastAsia" w:ascii="仿宋" w:hAnsi="仿宋" w:eastAsia="仿宋" w:cs="仿宋"/>
          <w:color w:val="000000"/>
          <w:kern w:val="0"/>
          <w:sz w:val="28"/>
          <w:szCs w:val="28"/>
          <w:lang w:val="en-US" w:eastAsia="zh-CN" w:bidi="ar"/>
        </w:rPr>
        <w:t>12</w:t>
      </w:r>
      <w:r>
        <w:rPr>
          <w:rFonts w:hint="default" w:ascii="仿宋" w:hAnsi="仿宋" w:eastAsia="仿宋" w:cs="仿宋"/>
          <w:color w:val="000000"/>
          <w:kern w:val="0"/>
          <w:sz w:val="28"/>
          <w:szCs w:val="28"/>
          <w:lang w:val="en-US" w:eastAsia="zh-CN" w:bidi="ar"/>
        </w:rPr>
        <w:t>日收到深圳证券交易所（以下简称“深交所”）上市审核中心出具的《关于吉林电力股份有限公司申请向特定对象发行股票的审核中心意见告知函》（以下简称“告知函”）。</w:t>
      </w: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default" w:ascii="仿宋" w:hAnsi="仿宋" w:eastAsia="仿宋" w:cs="仿宋"/>
          <w:color w:val="000000"/>
          <w:kern w:val="0"/>
          <w:sz w:val="28"/>
          <w:szCs w:val="28"/>
          <w:lang w:val="en-US" w:eastAsia="zh-CN" w:bidi="ar"/>
        </w:rPr>
      </w:pPr>
      <w:r>
        <w:rPr>
          <w:rFonts w:hint="default" w:ascii="仿宋" w:hAnsi="仿宋" w:eastAsia="仿宋" w:cs="仿宋"/>
          <w:color w:val="000000"/>
          <w:kern w:val="0"/>
          <w:sz w:val="28"/>
          <w:szCs w:val="28"/>
          <w:lang w:val="en-US" w:eastAsia="zh-CN" w:bidi="ar"/>
        </w:rPr>
        <w:t>深交所发行上市审核</w:t>
      </w:r>
      <w:r>
        <w:rPr>
          <w:rFonts w:hint="eastAsia" w:ascii="仿宋" w:hAnsi="仿宋" w:eastAsia="仿宋" w:cs="仿宋"/>
          <w:color w:val="000000"/>
          <w:kern w:val="0"/>
          <w:sz w:val="28"/>
          <w:szCs w:val="28"/>
          <w:lang w:val="en-US" w:eastAsia="zh-CN" w:bidi="ar"/>
        </w:rPr>
        <w:t>机构</w:t>
      </w:r>
      <w:r>
        <w:rPr>
          <w:rFonts w:hint="default" w:ascii="仿宋" w:hAnsi="仿宋" w:eastAsia="仿宋" w:cs="仿宋"/>
          <w:color w:val="000000"/>
          <w:kern w:val="0"/>
          <w:sz w:val="28"/>
          <w:szCs w:val="28"/>
          <w:lang w:val="en-US" w:eastAsia="zh-CN" w:bidi="ar"/>
        </w:rPr>
        <w:t>对公司向特定对象发行股票的申请文件进行了审核，认为公司符合发行条件、上市条件和信息披露要求，后续深交所将按规定报中国证券监督管理委员会（以下简称“中国证监会”）履行相关注册程序，要求公司收到告知函后以临时公告方式及时做好信息披露工作，并在五个工作日内报送募集说明书（注册稿）及相关文件，同时报送诚信记录核查表，十个工作日内汇总补充报送与审核问询回复相关的保荐工作底稿</w:t>
      </w:r>
      <w:bookmarkStart w:id="0" w:name="_GoBack"/>
      <w:bookmarkEnd w:id="0"/>
      <w:r>
        <w:rPr>
          <w:rFonts w:hint="default" w:ascii="仿宋" w:hAnsi="仿宋" w:eastAsia="仿宋" w:cs="仿宋"/>
          <w:color w:val="000000"/>
          <w:kern w:val="0"/>
          <w:sz w:val="28"/>
          <w:szCs w:val="28"/>
          <w:lang w:val="en-US" w:eastAsia="zh-CN" w:bidi="ar"/>
        </w:rPr>
        <w:t>。</w:t>
      </w: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default" w:ascii="仿宋" w:hAnsi="仿宋" w:eastAsia="仿宋" w:cs="仿宋"/>
          <w:color w:val="000000"/>
          <w:kern w:val="0"/>
          <w:sz w:val="28"/>
          <w:szCs w:val="28"/>
          <w:lang w:val="en-US" w:eastAsia="zh-CN" w:bidi="ar"/>
        </w:rPr>
      </w:pPr>
      <w:r>
        <w:rPr>
          <w:rFonts w:hint="default" w:ascii="仿宋" w:hAnsi="仿宋" w:eastAsia="仿宋" w:cs="仿宋"/>
          <w:color w:val="000000"/>
          <w:kern w:val="0"/>
          <w:sz w:val="28"/>
          <w:szCs w:val="28"/>
          <w:lang w:val="en-US" w:eastAsia="zh-CN" w:bidi="ar"/>
        </w:rPr>
        <w:t>公司本次向特定对象发行股票事项尚需获得中国证监会作出同意注册的决定后方可实施，最终能否获得中国证监会同意注册的决定及其时间尚存在不确定性。公司将密切关注该事项的后续进展情况，并根据进展情况及时履行信息披露义务。敬请广大投资者理性决策、谨慎投资、注意风险。</w:t>
      </w: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default"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r>
        <w:rPr>
          <w:rFonts w:hint="default" w:ascii="仿宋" w:hAnsi="仿宋" w:eastAsia="仿宋" w:cs="仿宋"/>
          <w:color w:val="000000"/>
          <w:kern w:val="0"/>
          <w:sz w:val="28"/>
          <w:szCs w:val="28"/>
          <w:lang w:val="en-US" w:eastAsia="zh-CN" w:bidi="ar"/>
        </w:rPr>
        <w:t>特此公告。</w:t>
      </w: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600" w:lineRule="exact"/>
        <w:ind w:left="0" w:firstLine="560" w:firstLineChars="200"/>
        <w:jc w:val="righ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吉林电力股份有限公司董事会</w:t>
      </w:r>
    </w:p>
    <w:p>
      <w:pPr>
        <w:keepNext w:val="0"/>
        <w:keepLines w:val="0"/>
        <w:pageBreakBefore w:val="0"/>
        <w:widowControl/>
        <w:suppressLineNumbers w:val="0"/>
        <w:kinsoku/>
        <w:wordWrap/>
        <w:overflowPunct/>
        <w:topLinePunct w:val="0"/>
        <w:bidi w:val="0"/>
        <w:snapToGrid/>
        <w:spacing w:line="600" w:lineRule="exact"/>
        <w:ind w:left="0" w:firstLine="560" w:firstLineChars="200"/>
        <w:jc w:val="right"/>
        <w:textAlignment w:val="auto"/>
        <w:rPr>
          <w:rFonts w:hint="eastAsia"/>
        </w:rPr>
      </w:pPr>
      <w:r>
        <w:rPr>
          <w:rFonts w:hint="eastAsia" w:ascii="仿宋" w:hAnsi="仿宋" w:eastAsia="仿宋" w:cs="仿宋"/>
          <w:color w:val="000000"/>
          <w:kern w:val="0"/>
          <w:sz w:val="28"/>
          <w:szCs w:val="28"/>
          <w:lang w:val="en-US" w:eastAsia="zh-CN" w:bidi="ar"/>
        </w:rPr>
        <w:t>二○二三年七月十三日</w:t>
      </w: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pStyle w:val="2"/>
        <w:rPr>
          <w:rFonts w:hint="eastAsia" w:ascii="仿宋" w:hAnsi="仿宋" w:eastAsia="仿宋" w:cs="仿宋"/>
          <w:color w:val="000000"/>
          <w:kern w:val="0"/>
          <w:sz w:val="28"/>
          <w:szCs w:val="28"/>
          <w:lang w:val="en-US" w:eastAsia="zh-CN" w:bidi="ar"/>
        </w:rPr>
      </w:pPr>
    </w:p>
    <w:p>
      <w:pPr>
        <w:pStyle w:val="2"/>
        <w:rPr>
          <w:rFonts w:hint="eastAsia" w:ascii="仿宋" w:hAnsi="仿宋" w:eastAsia="仿宋" w:cs="仿宋"/>
          <w:color w:val="000000"/>
          <w:kern w:val="0"/>
          <w:sz w:val="28"/>
          <w:szCs w:val="28"/>
          <w:lang w:val="en-US" w:eastAsia="zh-CN" w:bidi="ar"/>
        </w:rPr>
      </w:pPr>
    </w:p>
    <w:p>
      <w:pPr>
        <w:pStyle w:val="2"/>
        <w:rPr>
          <w:rFonts w:hint="eastAsia" w:ascii="仿宋" w:hAnsi="仿宋" w:eastAsia="仿宋" w:cs="仿宋"/>
          <w:color w:val="000000"/>
          <w:kern w:val="0"/>
          <w:sz w:val="28"/>
          <w:szCs w:val="28"/>
          <w:lang w:val="en-US" w:eastAsia="zh-CN" w:bidi="ar"/>
        </w:rPr>
      </w:pPr>
    </w:p>
    <w:p>
      <w:pPr>
        <w:pStyle w:val="2"/>
        <w:rPr>
          <w:rFonts w:hint="eastAsia" w:ascii="仿宋" w:hAnsi="仿宋" w:eastAsia="仿宋" w:cs="仿宋"/>
          <w:color w:val="000000"/>
          <w:kern w:val="0"/>
          <w:sz w:val="28"/>
          <w:szCs w:val="28"/>
          <w:lang w:val="en-US" w:eastAsia="zh-CN" w:bidi="ar"/>
        </w:rPr>
      </w:pPr>
    </w:p>
    <w:p>
      <w:pPr>
        <w:pStyle w:val="2"/>
        <w:rPr>
          <w:rFonts w:hint="eastAsia" w:ascii="仿宋" w:hAnsi="仿宋" w:eastAsia="仿宋" w:cs="仿宋"/>
          <w:color w:val="000000"/>
          <w:kern w:val="0"/>
          <w:sz w:val="28"/>
          <w:szCs w:val="28"/>
          <w:lang w:val="en-US" w:eastAsia="zh-CN" w:bidi="ar"/>
        </w:rPr>
      </w:pPr>
    </w:p>
    <w:p>
      <w:pPr>
        <w:pStyle w:val="2"/>
        <w:rPr>
          <w:rFonts w:hint="eastAsia" w:ascii="仿宋" w:hAnsi="仿宋" w:eastAsia="仿宋" w:cs="仿宋"/>
          <w:color w:val="000000"/>
          <w:kern w:val="0"/>
          <w:sz w:val="28"/>
          <w:szCs w:val="28"/>
          <w:lang w:val="en-US" w:eastAsia="zh-CN" w:bidi="ar"/>
        </w:rPr>
      </w:pPr>
    </w:p>
    <w:p>
      <w:pPr>
        <w:pStyle w:val="2"/>
        <w:rPr>
          <w:rFonts w:hint="eastAsia" w:ascii="仿宋" w:hAnsi="仿宋" w:eastAsia="仿宋" w:cs="仿宋"/>
          <w:color w:val="000000"/>
          <w:kern w:val="0"/>
          <w:sz w:val="28"/>
          <w:szCs w:val="28"/>
          <w:lang w:val="en-US" w:eastAsia="zh-CN" w:bidi="ar"/>
        </w:rPr>
      </w:pPr>
    </w:p>
    <w:p>
      <w:pPr>
        <w:pStyle w:val="2"/>
        <w:rPr>
          <w:rFonts w:hint="eastAsia" w:ascii="仿宋" w:hAnsi="仿宋" w:eastAsia="仿宋" w:cs="仿宋"/>
          <w:color w:val="000000"/>
          <w:kern w:val="0"/>
          <w:sz w:val="28"/>
          <w:szCs w:val="28"/>
          <w:lang w:val="en-US" w:eastAsia="zh-CN" w:bidi="ar"/>
        </w:rPr>
      </w:pPr>
    </w:p>
    <w:p>
      <w:pPr>
        <w:pStyle w:val="2"/>
        <w:rPr>
          <w:rFonts w:hint="eastAsia" w:ascii="仿宋" w:hAnsi="仿宋" w:eastAsia="仿宋" w:cs="仿宋"/>
          <w:color w:val="000000"/>
          <w:kern w:val="0"/>
          <w:sz w:val="28"/>
          <w:szCs w:val="28"/>
          <w:lang w:val="en-US" w:eastAsia="zh-CN" w:bidi="ar"/>
        </w:rPr>
      </w:pPr>
    </w:p>
    <w:p>
      <w:pPr>
        <w:pStyle w:val="2"/>
        <w:rPr>
          <w:rFonts w:hint="eastAsia" w:ascii="仿宋" w:hAnsi="仿宋" w:eastAsia="仿宋" w:cs="仿宋"/>
          <w:color w:val="000000"/>
          <w:kern w:val="0"/>
          <w:sz w:val="28"/>
          <w:szCs w:val="28"/>
          <w:lang w:val="en-US" w:eastAsia="zh-CN" w:bidi="ar"/>
        </w:rPr>
      </w:pPr>
    </w:p>
    <w:p>
      <w:pPr>
        <w:pStyle w:val="2"/>
        <w:rPr>
          <w:rFonts w:hint="eastAsia" w:ascii="仿宋" w:hAnsi="仿宋" w:eastAsia="仿宋" w:cs="仿宋"/>
          <w:color w:val="000000"/>
          <w:kern w:val="0"/>
          <w:sz w:val="28"/>
          <w:szCs w:val="28"/>
          <w:lang w:val="en-US" w:eastAsia="zh-CN" w:bidi="ar"/>
        </w:rPr>
      </w:pPr>
    </w:p>
    <w:p>
      <w:pPr>
        <w:pStyle w:val="2"/>
        <w:ind w:left="0" w:leftChars="0" w:firstLine="0" w:firstLineChars="0"/>
        <w:rPr>
          <w:rFonts w:hint="eastAsia" w:ascii="仿宋" w:hAnsi="仿宋" w:eastAsia="仿宋" w:cs="仿宋"/>
          <w:color w:val="000000"/>
          <w:kern w:val="0"/>
          <w:sz w:val="28"/>
          <w:szCs w:val="28"/>
          <w:lang w:val="en-US" w:eastAsia="zh-CN" w:bidi="ar"/>
        </w:rPr>
      </w:pPr>
    </w:p>
    <w:p/>
    <w:sectPr>
      <w:pgSz w:w="11906" w:h="16838"/>
      <w:pgMar w:top="12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0C2F409E"/>
    <w:rsid w:val="00607D32"/>
    <w:rsid w:val="0C2F409E"/>
    <w:rsid w:val="22AE0B3D"/>
    <w:rsid w:val="46C21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lock Text"/>
    <w:basedOn w:val="1"/>
    <w:unhideWhenUsed/>
    <w:qFormat/>
    <w:uiPriority w:val="99"/>
    <w:pPr>
      <w:spacing w:after="120" w:line="500" w:lineRule="exact"/>
      <w:ind w:left="1440" w:leftChars="700" w:right="1440" w:rightChars="700" w:firstLine="200" w:firstLineChars="200"/>
      <w:jc w:val="left"/>
    </w:pPr>
    <w:rPr>
      <w:szCs w:val="20"/>
    </w:rPr>
  </w:style>
  <w:style w:type="paragraph" w:styleId="3">
    <w:name w:val="Body Text Indent"/>
    <w:basedOn w:val="1"/>
    <w:next w:val="1"/>
    <w:qFormat/>
    <w:uiPriority w:val="0"/>
    <w:pPr>
      <w:ind w:firstLine="640" w:firstLineChars="200"/>
    </w:pPr>
    <w:rPr>
      <w:sz w:val="32"/>
    </w:rPr>
  </w:style>
  <w:style w:type="paragraph" w:styleId="4">
    <w:name w:val="Body Text First Indent 2"/>
    <w:basedOn w:val="3"/>
    <w:qFormat/>
    <w:uiPriority w:val="0"/>
    <w:pPr>
      <w:ind w:firstLine="420" w:firstLineChars="200"/>
    </w:pPr>
    <w:rPr>
      <w:rFonts w:ascii="Times New Roman" w:hAnsi="Times New Roman"/>
    </w:rPr>
  </w:style>
  <w:style w:type="character" w:styleId="7">
    <w:name w:val="Hyperlink"/>
    <w:qFormat/>
    <w:uiPriority w:val="0"/>
    <w:rPr>
      <w:rFonts w:ascii="Tahoma" w:hAnsi="Tahoma"/>
      <w:color w:val="0000FF"/>
      <w:sz w:val="24"/>
      <w:szCs w:val="20"/>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591</Words>
  <Characters>607</Characters>
  <Lines>0</Lines>
  <Paragraphs>0</Paragraphs>
  <TotalTime>4</TotalTime>
  <ScaleCrop>false</ScaleCrop>
  <LinksUpToDate>false</LinksUpToDate>
  <CharactersWithSpaces>633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2023-07-12T12:18:00Z</dcterms:created>
  <dc:creator>WPS_1591103659</dc:creator>
  <cp:lastModifiedBy>WPS_1591103659</cp:lastModifiedBy>
  <dcterms:modified xsi:type="dcterms:W3CDTF">2023-07-12T12:39:31Z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21B24AFA6CEC4FA88E597E990B78BA87_11</vt:lpwstr>
  </property>
</Properties>
</file>