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ascii="Times New Roman" w:hAnsi="宋体" w:eastAsia="宋体"/>
          <w:sz w:val="21"/>
        </w:rPr>
        <w:t>证券代码</w:t>
      </w:r>
      <w:r>
        <w:rPr>
          <w:rFonts w:ascii="Times New Roman" w:eastAsia="宋体"/>
          <w:sz w:val="21"/>
        </w:rPr>
        <w:t xml:space="preserve">：000875               </w:t>
      </w:r>
      <w:r>
        <w:rPr>
          <w:rFonts w:ascii="Times New Roman" w:hAnsi="宋体" w:eastAsia="宋体"/>
          <w:sz w:val="21"/>
        </w:rPr>
        <w:t>证券简称：吉电股份</w:t>
      </w:r>
      <w:r>
        <w:rPr>
          <w:rFonts w:ascii="Times New Roman" w:eastAsia="宋体"/>
          <w:sz w:val="21"/>
        </w:rPr>
        <w:t xml:space="preserve">              公告编号：</w:t>
      </w:r>
      <w:r>
        <w:rPr>
          <w:rFonts w:hint="eastAsia" w:ascii="Times New Roman" w:eastAsia="宋体"/>
          <w:sz w:val="21"/>
          <w:lang w:val="en-US" w:eastAsia="zh-CN"/>
        </w:rPr>
        <w:t>2023-092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color w:val="FF6600"/>
        </w:rPr>
      </w:pPr>
      <w:r>
        <w:rPr>
          <w:rFonts w:ascii="Times New Roman"/>
          <w:color w:val="FF660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22860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pt;margin-top:1.8pt;height:1.8pt;width:426.6pt;z-index:251659264;mso-width-relative:page;mso-height-relative:page;" filled="f" stroked="t" coordsize="21600,21600" o:gfxdata="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kusJtQAAAAGAQAADwAAAAAAAAABACAAAAAiAAAAZHJzL2Rv&#10;d25yZXYueG1sUEsBAhQAFAAAAAgAh07iQI8xtmcFAgAA+QMAAA4AAAAAAAAAAQAgAAAAIwEAAGRy&#10;cy9lMm9Eb2MueG1sUEsFBgAAAAAGAAYAWQEAAJoFAAAAAA==&#10;">
                <v:fill on="f" focussize="0,0"/>
                <v:stroke weight="4.5pt" color="#FF66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eastAsia="宋体"/>
          <w:b/>
          <w:color w:val="auto"/>
          <w:sz w:val="44"/>
          <w:szCs w:val="44"/>
          <w:highlight w:val="none"/>
        </w:rPr>
      </w:pPr>
      <w:r>
        <w:rPr>
          <w:rFonts w:hint="eastAsia" w:ascii="Times New Roman" w:eastAsia="宋体"/>
          <w:b/>
          <w:color w:val="auto"/>
          <w:sz w:val="44"/>
          <w:szCs w:val="44"/>
          <w:highlight w:val="none"/>
          <w:lang w:val="en-US" w:eastAsia="zh-CN"/>
        </w:rPr>
        <w:t>公司与中远海运国际（香港）有限公司、上港集团能源（上海）有限公司</w:t>
      </w:r>
      <w:r>
        <w:rPr>
          <w:rFonts w:hint="eastAsia" w:ascii="Times New Roman" w:eastAsia="宋体"/>
          <w:b/>
          <w:color w:val="auto"/>
          <w:sz w:val="44"/>
          <w:szCs w:val="44"/>
          <w:highlight w:val="none"/>
        </w:rPr>
        <w:t>签订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eastAsia="宋体"/>
          <w:b/>
          <w:color w:val="auto"/>
          <w:sz w:val="44"/>
          <w:szCs w:val="44"/>
          <w:highlight w:val="none"/>
        </w:rPr>
      </w:pPr>
      <w:r>
        <w:rPr>
          <w:rFonts w:hint="eastAsia" w:ascii="Times New Roman" w:eastAsia="宋体"/>
          <w:b/>
          <w:color w:val="auto"/>
          <w:sz w:val="44"/>
          <w:szCs w:val="44"/>
          <w:highlight w:val="none"/>
        </w:rPr>
        <w:t>《关于成立上海吉远绿色能源有限公司合作协议》的公告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eastAsia="宋体"/>
          <w:b/>
          <w:color w:val="auto"/>
          <w:sz w:val="4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b/>
          <w:color w:val="auto"/>
          <w:szCs w:val="28"/>
          <w:highlight w:val="none"/>
        </w:rPr>
      </w:pPr>
      <w:r>
        <w:rPr>
          <w:rFonts w:hint="eastAsia" w:ascii="仿宋" w:hAnsi="仿宋" w:eastAsia="仿宋"/>
          <w:b/>
          <w:color w:val="auto"/>
          <w:szCs w:val="28"/>
          <w:highlight w:val="none"/>
        </w:rPr>
        <w:t>本公司及董事会全体成员保证信息披露的内容真实、准确、完整，没有虚假记载、误导性陈述或重大遗漏。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Times New Roman"/>
          <w:b/>
          <w:color w:val="auto"/>
          <w:szCs w:val="28"/>
          <w:highlight w:val="none"/>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b/>
          <w:bCs/>
          <w:color w:val="auto"/>
          <w:kern w:val="2"/>
          <w:sz w:val="28"/>
          <w:szCs w:val="28"/>
          <w:highlight w:val="none"/>
          <w:lang w:eastAsia="zh-CN"/>
        </w:rPr>
      </w:pPr>
      <w:r>
        <w:rPr>
          <w:rFonts w:hint="eastAsia" w:ascii="仿宋_GB2312" w:hAnsi="仿宋" w:eastAsia="仿宋_GB2312" w:cs="Times New Roman"/>
          <w:b/>
          <w:bCs/>
          <w:color w:val="auto"/>
          <w:kern w:val="2"/>
          <w:sz w:val="28"/>
          <w:szCs w:val="28"/>
          <w:highlight w:val="none"/>
          <w:lang w:eastAsia="zh-CN"/>
        </w:rPr>
        <w:t>一、协议签署的基本情况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hAnsi="仿宋" w:eastAsia="仿宋"/>
          <w:color w:val="000000"/>
          <w:kern w:val="0"/>
          <w:sz w:val="28"/>
          <w:szCs w:val="28"/>
          <w:highlight w:val="none"/>
          <w:lang w:val="en-US" w:eastAsia="zh-CN"/>
        </w:rPr>
      </w:pPr>
      <w:r>
        <w:rPr>
          <w:rFonts w:hint="eastAsia" w:hAnsi="仿宋" w:eastAsia="仿宋"/>
          <w:color w:val="000000"/>
          <w:kern w:val="0"/>
          <w:sz w:val="28"/>
          <w:szCs w:val="28"/>
          <w:highlight w:val="none"/>
          <w:lang w:val="en-US" w:eastAsia="zh-CN"/>
        </w:rPr>
        <w:t>2023年12月29日，</w:t>
      </w:r>
      <w:r>
        <w:rPr>
          <w:rFonts w:hint="eastAsia" w:hAnsi="仿宋" w:eastAsia="仿宋"/>
          <w:color w:val="000000"/>
          <w:kern w:val="0"/>
          <w:sz w:val="28"/>
          <w:szCs w:val="28"/>
          <w:highlight w:val="none"/>
        </w:rPr>
        <w:t>吉林电力股份有限公司（以下简称“吉电股份”或“公司”）与中远海运国际（香港）有限公司（以下简称“中远海运国际</w:t>
      </w:r>
      <w:r>
        <w:rPr>
          <w:rFonts w:hint="eastAsia" w:hAnsi="仿宋" w:eastAsia="仿宋"/>
          <w:color w:val="000000"/>
          <w:kern w:val="0"/>
          <w:sz w:val="28"/>
          <w:szCs w:val="28"/>
          <w:highlight w:val="none"/>
          <w:lang w:val="en-US" w:eastAsia="zh-CN"/>
        </w:rPr>
        <w:t>香港</w:t>
      </w:r>
      <w:r>
        <w:rPr>
          <w:rFonts w:hint="eastAsia" w:hAnsi="仿宋" w:eastAsia="仿宋"/>
          <w:color w:val="000000"/>
          <w:kern w:val="0"/>
          <w:sz w:val="28"/>
          <w:szCs w:val="28"/>
          <w:highlight w:val="none"/>
        </w:rPr>
        <w:t>”）、上港集团能源（上海）有限公司（以下简称“</w:t>
      </w:r>
      <w:r>
        <w:rPr>
          <w:rFonts w:hint="eastAsia" w:hAnsi="仿宋" w:eastAsia="仿宋"/>
          <w:color w:val="000000"/>
          <w:kern w:val="0"/>
          <w:sz w:val="28"/>
          <w:szCs w:val="28"/>
          <w:highlight w:val="none"/>
          <w:lang w:eastAsia="zh-CN"/>
        </w:rPr>
        <w:t>上港能源</w:t>
      </w:r>
      <w:r>
        <w:rPr>
          <w:rFonts w:hint="eastAsia" w:hAnsi="仿宋" w:eastAsia="仿宋"/>
          <w:color w:val="000000"/>
          <w:kern w:val="0"/>
          <w:sz w:val="28"/>
          <w:szCs w:val="28"/>
          <w:highlight w:val="none"/>
        </w:rPr>
        <w:t>”）</w:t>
      </w:r>
      <w:r>
        <w:rPr>
          <w:rFonts w:hint="eastAsia" w:hAnsi="仿宋" w:eastAsia="仿宋"/>
          <w:color w:val="000000"/>
          <w:kern w:val="0"/>
          <w:sz w:val="28"/>
          <w:szCs w:val="28"/>
          <w:highlight w:val="none"/>
          <w:lang w:val="en-US" w:eastAsia="zh-CN"/>
        </w:rPr>
        <w:t>签订《</w:t>
      </w:r>
      <w:r>
        <w:rPr>
          <w:rFonts w:hint="eastAsia" w:eastAsia="仿宋"/>
          <w:sz w:val="28"/>
          <w:szCs w:val="28"/>
          <w:highlight w:val="none"/>
        </w:rPr>
        <w:t>关于成立上海吉远绿色能源有限公司合作协议</w:t>
      </w:r>
      <w:r>
        <w:rPr>
          <w:rFonts w:hint="eastAsia" w:hAnsi="仿宋" w:eastAsia="仿宋"/>
          <w:color w:val="000000"/>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hAnsi="仿宋" w:eastAsia="仿宋"/>
          <w:color w:val="000000"/>
          <w:kern w:val="0"/>
          <w:sz w:val="28"/>
          <w:szCs w:val="28"/>
          <w:highlight w:val="none"/>
          <w:lang w:val="en-US" w:eastAsia="zh-CN"/>
        </w:rPr>
      </w:pPr>
      <w:r>
        <w:rPr>
          <w:rFonts w:eastAsia="仿宋"/>
          <w:sz w:val="28"/>
          <w:szCs w:val="28"/>
          <w:highlight w:val="none"/>
        </w:rPr>
        <w:t>根据《深圳证券交易所股票上市规则》和公司《章程》的规定，</w:t>
      </w:r>
      <w:r>
        <w:rPr>
          <w:rFonts w:hint="eastAsia" w:eastAsia="仿宋"/>
          <w:sz w:val="28"/>
          <w:szCs w:val="28"/>
          <w:highlight w:val="none"/>
          <w:lang w:val="en-US" w:eastAsia="zh-CN"/>
        </w:rPr>
        <w:t>该事项</w:t>
      </w:r>
      <w:r>
        <w:rPr>
          <w:rFonts w:hint="eastAsia" w:eastAsia="仿宋"/>
          <w:sz w:val="28"/>
          <w:szCs w:val="28"/>
          <w:highlight w:val="none"/>
        </w:rPr>
        <w:t>无</w:t>
      </w:r>
      <w:r>
        <w:rPr>
          <w:rFonts w:eastAsia="仿宋"/>
          <w:sz w:val="28"/>
          <w:szCs w:val="28"/>
          <w:highlight w:val="none"/>
        </w:rPr>
        <w:t>需提交</w:t>
      </w:r>
      <w:r>
        <w:rPr>
          <w:rFonts w:hint="eastAsia" w:eastAsia="仿宋"/>
          <w:sz w:val="28"/>
          <w:szCs w:val="28"/>
          <w:highlight w:val="none"/>
        </w:rPr>
        <w:t>董事会和</w:t>
      </w:r>
      <w:r>
        <w:rPr>
          <w:rFonts w:eastAsia="仿宋"/>
          <w:sz w:val="28"/>
          <w:szCs w:val="28"/>
          <w:highlight w:val="none"/>
        </w:rPr>
        <w:t>股东大会审议。</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b/>
          <w:color w:val="000000"/>
          <w:kern w:val="0"/>
          <w:sz w:val="28"/>
          <w:szCs w:val="28"/>
          <w:highlight w:val="none"/>
        </w:rPr>
      </w:pPr>
      <w:r>
        <w:rPr>
          <w:rFonts w:hint="eastAsia" w:eastAsia="仿宋"/>
          <w:b/>
          <w:color w:val="000000"/>
          <w:kern w:val="0"/>
          <w:sz w:val="28"/>
          <w:szCs w:val="28"/>
          <w:highlight w:val="none"/>
        </w:rPr>
        <w:t>二、交易对手方介绍</w:t>
      </w:r>
    </w:p>
    <w:p>
      <w:pPr>
        <w:keepNext w:val="0"/>
        <w:keepLines w:val="0"/>
        <w:pageBreakBefore w:val="0"/>
        <w:widowControl w:val="0"/>
        <w:kinsoku/>
        <w:wordWrap/>
        <w:overflowPunct/>
        <w:topLinePunct w:val="0"/>
        <w:autoSpaceDE/>
        <w:autoSpaceDN/>
        <w:bidi w:val="0"/>
        <w:adjustRightInd/>
        <w:spacing w:line="580" w:lineRule="exact"/>
        <w:ind w:firstLine="645"/>
        <w:textAlignment w:val="auto"/>
        <w:rPr>
          <w:rFonts w:eastAsia="仿宋"/>
          <w:b/>
          <w:bCs/>
          <w:sz w:val="28"/>
          <w:szCs w:val="28"/>
          <w:highlight w:val="none"/>
        </w:rPr>
      </w:pPr>
      <w:r>
        <w:rPr>
          <w:rFonts w:hint="eastAsia" w:eastAsia="仿宋"/>
          <w:b/>
          <w:bCs/>
          <w:sz w:val="28"/>
          <w:szCs w:val="28"/>
          <w:highlight w:val="none"/>
        </w:rPr>
        <w:t>（一）中远海运国际（香港）有限公司</w:t>
      </w:r>
    </w:p>
    <w:p>
      <w:pPr>
        <w:keepNext w:val="0"/>
        <w:keepLines w:val="0"/>
        <w:pageBreakBefore w:val="0"/>
        <w:widowControl w:val="0"/>
        <w:kinsoku/>
        <w:wordWrap/>
        <w:overflowPunct/>
        <w:topLinePunct w:val="0"/>
        <w:autoSpaceDE/>
        <w:autoSpaceDN/>
        <w:bidi w:val="0"/>
        <w:adjustRightInd/>
        <w:spacing w:line="580" w:lineRule="exact"/>
        <w:ind w:firstLine="645"/>
        <w:textAlignment w:val="auto"/>
        <w:rPr>
          <w:rFonts w:eastAsia="仿宋"/>
          <w:sz w:val="28"/>
          <w:szCs w:val="28"/>
          <w:highlight w:val="none"/>
        </w:rPr>
      </w:pPr>
      <w:r>
        <w:rPr>
          <w:rFonts w:eastAsia="仿宋"/>
          <w:sz w:val="28"/>
          <w:szCs w:val="28"/>
          <w:highlight w:val="none"/>
        </w:rPr>
        <w:t>1.</w:t>
      </w:r>
      <w:r>
        <w:rPr>
          <w:rFonts w:hint="eastAsia" w:eastAsia="仿宋"/>
          <w:sz w:val="28"/>
          <w:szCs w:val="28"/>
          <w:highlight w:val="none"/>
        </w:rPr>
        <w:t>基本情况</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公司名称：中远海运国际（香港）有限公司</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公司性质：有限责任公司</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成立时间：</w:t>
      </w:r>
      <w:r>
        <w:rPr>
          <w:rFonts w:eastAsia="仿宋"/>
          <w:sz w:val="28"/>
          <w:szCs w:val="28"/>
          <w:highlight w:val="none"/>
        </w:rPr>
        <w:t>1991</w:t>
      </w:r>
      <w:r>
        <w:rPr>
          <w:rFonts w:hint="eastAsia" w:eastAsia="仿宋"/>
          <w:sz w:val="28"/>
          <w:szCs w:val="28"/>
          <w:highlight w:val="none"/>
        </w:rPr>
        <w:t>年</w:t>
      </w:r>
      <w:r>
        <w:rPr>
          <w:rFonts w:eastAsia="仿宋"/>
          <w:sz w:val="28"/>
          <w:szCs w:val="28"/>
          <w:highlight w:val="none"/>
        </w:rPr>
        <w:t>9</w:t>
      </w:r>
      <w:r>
        <w:rPr>
          <w:rFonts w:hint="eastAsia" w:eastAsia="仿宋"/>
          <w:sz w:val="28"/>
          <w:szCs w:val="28"/>
          <w:highlight w:val="none"/>
        </w:rPr>
        <w:t>月</w:t>
      </w:r>
      <w:r>
        <w:rPr>
          <w:rFonts w:eastAsia="仿宋"/>
          <w:sz w:val="28"/>
          <w:szCs w:val="28"/>
          <w:highlight w:val="none"/>
        </w:rPr>
        <w:t>9</w:t>
      </w:r>
      <w:r>
        <w:rPr>
          <w:rFonts w:hint="eastAsia" w:eastAsia="仿宋"/>
          <w:sz w:val="28"/>
          <w:szCs w:val="28"/>
          <w:highlight w:val="none"/>
        </w:rPr>
        <w:t>日</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注册资本金：</w:t>
      </w:r>
      <w:r>
        <w:rPr>
          <w:rFonts w:eastAsia="仿宋"/>
          <w:sz w:val="28"/>
          <w:szCs w:val="28"/>
          <w:highlight w:val="none"/>
        </w:rPr>
        <w:t>30,000</w:t>
      </w:r>
      <w:r>
        <w:rPr>
          <w:rFonts w:hint="eastAsia" w:eastAsia="仿宋"/>
          <w:sz w:val="28"/>
          <w:szCs w:val="28"/>
          <w:highlight w:val="none"/>
        </w:rPr>
        <w:t>万港元</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董事总经理兼主席：朱昌宇</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公司编码：</w:t>
      </w:r>
      <w:r>
        <w:rPr>
          <w:rFonts w:eastAsia="仿宋"/>
          <w:sz w:val="28"/>
          <w:szCs w:val="28"/>
          <w:highlight w:val="none"/>
        </w:rPr>
        <w:t>F5290</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注册地址：香港皇后大道中</w:t>
      </w:r>
      <w:r>
        <w:rPr>
          <w:rFonts w:eastAsia="仿宋"/>
          <w:sz w:val="28"/>
          <w:szCs w:val="28"/>
          <w:highlight w:val="none"/>
        </w:rPr>
        <w:t xml:space="preserve"> 183 </w:t>
      </w:r>
      <w:r>
        <w:rPr>
          <w:rFonts w:hint="eastAsia" w:eastAsia="仿宋"/>
          <w:sz w:val="28"/>
          <w:szCs w:val="28"/>
          <w:highlight w:val="none"/>
        </w:rPr>
        <w:t>号中远大厦</w:t>
      </w:r>
      <w:r>
        <w:rPr>
          <w:rFonts w:eastAsia="仿宋"/>
          <w:sz w:val="28"/>
          <w:szCs w:val="28"/>
          <w:highlight w:val="none"/>
        </w:rPr>
        <w:t xml:space="preserve"> 47 </w:t>
      </w:r>
      <w:r>
        <w:rPr>
          <w:rFonts w:hint="eastAsia" w:eastAsia="仿宋"/>
          <w:sz w:val="28"/>
          <w:szCs w:val="28"/>
          <w:highlight w:val="none"/>
        </w:rPr>
        <w:t>楼</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eastAsia="仿宋"/>
          <w:sz w:val="28"/>
          <w:szCs w:val="28"/>
          <w:highlight w:val="none"/>
        </w:rPr>
      </w:pPr>
      <w:r>
        <w:rPr>
          <w:rFonts w:hint="eastAsia" w:eastAsia="仿宋"/>
          <w:sz w:val="28"/>
          <w:szCs w:val="28"/>
          <w:highlight w:val="none"/>
        </w:rPr>
        <w:t>经营范围：主要从事提供航运服务及一般贸易。</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rFonts w:hint="default" w:eastAsia="仿宋"/>
          <w:sz w:val="28"/>
          <w:szCs w:val="28"/>
          <w:highlight w:val="none"/>
          <w:lang w:val="en-US"/>
        </w:rPr>
      </w:pPr>
      <w:r>
        <w:rPr>
          <w:rFonts w:hint="eastAsia" w:eastAsia="仿宋"/>
          <w:sz w:val="28"/>
          <w:szCs w:val="28"/>
          <w:highlight w:val="none"/>
        </w:rPr>
        <w:t>中远海运国际（香港）有限公司</w:t>
      </w:r>
      <w:r>
        <w:rPr>
          <w:rFonts w:hint="eastAsia" w:eastAsia="仿宋"/>
          <w:sz w:val="28"/>
          <w:szCs w:val="28"/>
          <w:highlight w:val="none"/>
          <w:lang w:val="en-US" w:eastAsia="zh-CN"/>
        </w:rPr>
        <w:t>为香港联合交易所上市公司，股票代码00517。</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eastAsia="仿宋"/>
          <w:sz w:val="28"/>
          <w:szCs w:val="28"/>
          <w:highlight w:val="none"/>
        </w:rPr>
      </w:pPr>
      <w:r>
        <w:rPr>
          <w:rFonts w:hint="eastAsia" w:eastAsia="仿宋"/>
          <w:color w:val="000000"/>
          <w:kern w:val="0"/>
          <w:sz w:val="28"/>
          <w:szCs w:val="28"/>
          <w:highlight w:val="none"/>
          <w:lang w:val="en-US" w:eastAsia="zh-CN"/>
        </w:rPr>
        <w:t>2</w:t>
      </w:r>
      <w:r>
        <w:rPr>
          <w:rFonts w:eastAsia="仿宋"/>
          <w:color w:val="000000"/>
          <w:kern w:val="0"/>
          <w:sz w:val="28"/>
          <w:szCs w:val="28"/>
          <w:highlight w:val="none"/>
        </w:rPr>
        <w:t>.</w:t>
      </w:r>
      <w:r>
        <w:rPr>
          <w:rFonts w:eastAsia="仿宋"/>
          <w:sz w:val="28"/>
          <w:szCs w:val="28"/>
          <w:highlight w:val="none"/>
        </w:rPr>
        <w:t>公司与</w:t>
      </w:r>
      <w:r>
        <w:rPr>
          <w:rFonts w:hint="eastAsia" w:hAnsi="仿宋" w:eastAsia="仿宋"/>
          <w:color w:val="000000"/>
          <w:kern w:val="0"/>
          <w:sz w:val="28"/>
          <w:szCs w:val="28"/>
          <w:highlight w:val="none"/>
        </w:rPr>
        <w:t>中远海运国际</w:t>
      </w:r>
      <w:r>
        <w:rPr>
          <w:rFonts w:hint="eastAsia" w:hAnsi="仿宋" w:eastAsia="仿宋"/>
          <w:color w:val="000000"/>
          <w:kern w:val="0"/>
          <w:sz w:val="28"/>
          <w:szCs w:val="28"/>
          <w:highlight w:val="none"/>
          <w:lang w:val="en-US" w:eastAsia="zh-CN"/>
        </w:rPr>
        <w:t>香港</w:t>
      </w:r>
      <w:r>
        <w:rPr>
          <w:rFonts w:eastAsia="仿宋"/>
          <w:sz w:val="28"/>
          <w:szCs w:val="28"/>
          <w:highlight w:val="none"/>
        </w:rPr>
        <w:t>不存在关联关系。</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eastAsia="仿宋"/>
          <w:sz w:val="28"/>
          <w:szCs w:val="28"/>
          <w:highlight w:val="none"/>
        </w:rPr>
      </w:pPr>
      <w:r>
        <w:rPr>
          <w:rFonts w:hint="eastAsia" w:eastAsia="仿宋"/>
          <w:sz w:val="28"/>
          <w:szCs w:val="28"/>
          <w:highlight w:val="none"/>
          <w:lang w:val="en-US" w:eastAsia="zh-CN"/>
        </w:rPr>
        <w:t>3</w:t>
      </w:r>
      <w:r>
        <w:rPr>
          <w:rFonts w:eastAsia="仿宋"/>
          <w:sz w:val="28"/>
          <w:szCs w:val="28"/>
          <w:highlight w:val="none"/>
        </w:rPr>
        <w:t>.经核实，</w:t>
      </w:r>
      <w:r>
        <w:rPr>
          <w:rFonts w:hint="eastAsia" w:hAnsi="仿宋" w:eastAsia="仿宋"/>
          <w:color w:val="000000"/>
          <w:kern w:val="0"/>
          <w:sz w:val="28"/>
          <w:szCs w:val="28"/>
          <w:highlight w:val="none"/>
        </w:rPr>
        <w:t>中远海运国际</w:t>
      </w:r>
      <w:r>
        <w:rPr>
          <w:rFonts w:hint="eastAsia" w:hAnsi="仿宋" w:eastAsia="仿宋"/>
          <w:color w:val="000000"/>
          <w:kern w:val="0"/>
          <w:sz w:val="28"/>
          <w:szCs w:val="28"/>
          <w:highlight w:val="none"/>
          <w:lang w:val="en-US" w:eastAsia="zh-CN"/>
        </w:rPr>
        <w:t>香港</w:t>
      </w:r>
      <w:r>
        <w:rPr>
          <w:rFonts w:eastAsia="仿宋"/>
          <w:sz w:val="28"/>
          <w:szCs w:val="28"/>
          <w:highlight w:val="none"/>
        </w:rPr>
        <w:t>不是失信被执行人。</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b/>
          <w:bCs/>
          <w:sz w:val="28"/>
          <w:szCs w:val="28"/>
          <w:highlight w:val="none"/>
        </w:rPr>
      </w:pPr>
      <w:r>
        <w:rPr>
          <w:rFonts w:hint="eastAsia" w:eastAsia="仿宋"/>
          <w:b/>
          <w:bCs/>
          <w:sz w:val="28"/>
          <w:szCs w:val="28"/>
          <w:highlight w:val="none"/>
        </w:rPr>
        <w:t>（二）上港集团能源（上海）有限公司</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1.基本情况</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公司名称：上港集团能源（上海）有限公司</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公司性质：有限责任公司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成立时间：2023年11月07日</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注册资本金：人民币10000</w:t>
      </w:r>
      <w:r>
        <w:rPr>
          <w:rFonts w:eastAsia="仿宋"/>
          <w:sz w:val="28"/>
          <w:szCs w:val="28"/>
          <w:highlight w:val="none"/>
        </w:rPr>
        <w:t>.</w:t>
      </w:r>
      <w:r>
        <w:rPr>
          <w:rFonts w:hint="eastAsia" w:eastAsia="仿宋"/>
          <w:sz w:val="28"/>
          <w:szCs w:val="28"/>
          <w:highlight w:val="none"/>
        </w:rPr>
        <w:t>00万元整</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法定代表人：罗文斌</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统一社会信用代码：91310109MAD33TU18L</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注册地址：上海市虹口区塘沽路309号14层C室（集中登记地）</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eastAsia="仿宋"/>
          <w:sz w:val="28"/>
          <w:szCs w:val="28"/>
          <w:highlight w:val="none"/>
        </w:rPr>
      </w:pPr>
      <w:r>
        <w:rPr>
          <w:rFonts w:hint="eastAsia" w:eastAsia="仿宋"/>
          <w:sz w:val="28"/>
          <w:szCs w:val="28"/>
          <w:highlight w:val="none"/>
        </w:rPr>
        <w:t>经营范围：一般项目：石油制品销售（不含危险化学品）；成品油批发（不含危险化学品）；润滑油销售；石油天然气技术服务；站用加氢及储氢设施销售；船舶港口服务；无船承运业务；进出口代理；货物进出口；技术进出口；销售代理；国内船舶代理；国际船舶代理；国内货物运输代理；国际货物运输代理；新兴能源技术研发；集中式快速充电站；电力电子元器件销售；电子产品销售；电子、机械设备维护（不含特种设备）；新能源汽车整车销售；新能源汽车电附件销售；工程管理服务；供应链管理服务；技术服务、技术开发、技术咨询、技术交流、技术转让、技术推广；信息技术咨询服务；风力发电技术服务；太阳能发电技术服务；生物质能技术服务；储能技术服务；工程和技术研究和试验发展；合同能源管理。（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eastAsia="仿宋"/>
          <w:sz w:val="28"/>
          <w:szCs w:val="28"/>
          <w:highlight w:val="none"/>
        </w:rPr>
      </w:pPr>
      <w:r>
        <w:rPr>
          <w:rFonts w:hint="eastAsia" w:eastAsia="仿宋"/>
          <w:sz w:val="28"/>
          <w:szCs w:val="28"/>
          <w:highlight w:val="none"/>
        </w:rPr>
        <w:t>许可项目：国内船舶管理业务；燃气经营；港口经营。（依法须经批准的项目，经相关部门批准后方可开展经营活动，具体经营项目以相关部门批准文件或许可证件为准）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eastAsia="仿宋"/>
          <w:sz w:val="28"/>
          <w:szCs w:val="28"/>
          <w:highlight w:val="none"/>
        </w:rPr>
      </w:pPr>
      <w:r>
        <w:rPr>
          <w:rFonts w:hint="eastAsia" w:eastAsia="仿宋"/>
          <w:color w:val="000000"/>
          <w:kern w:val="0"/>
          <w:sz w:val="28"/>
          <w:szCs w:val="28"/>
          <w:highlight w:val="none"/>
          <w:lang w:val="en-US" w:eastAsia="zh-CN"/>
        </w:rPr>
        <w:t>2</w:t>
      </w:r>
      <w:r>
        <w:rPr>
          <w:rFonts w:hint="eastAsia" w:eastAsia="仿宋"/>
          <w:color w:val="000000"/>
          <w:kern w:val="0"/>
          <w:sz w:val="28"/>
          <w:szCs w:val="28"/>
          <w:highlight w:val="none"/>
        </w:rPr>
        <w:t>.</w:t>
      </w:r>
      <w:r>
        <w:rPr>
          <w:rFonts w:hint="eastAsia" w:eastAsia="仿宋"/>
          <w:sz w:val="28"/>
          <w:szCs w:val="28"/>
          <w:highlight w:val="none"/>
        </w:rPr>
        <w:t>公司与</w:t>
      </w:r>
      <w:r>
        <w:rPr>
          <w:rFonts w:hint="eastAsia" w:eastAsia="仿宋"/>
          <w:sz w:val="28"/>
          <w:szCs w:val="28"/>
          <w:highlight w:val="none"/>
          <w:lang w:eastAsia="zh-CN"/>
        </w:rPr>
        <w:t>上港能源</w:t>
      </w:r>
      <w:r>
        <w:rPr>
          <w:rFonts w:hint="eastAsia" w:hAnsi="仿宋" w:eastAsia="仿宋"/>
          <w:sz w:val="28"/>
          <w:szCs w:val="28"/>
          <w:highlight w:val="none"/>
        </w:rPr>
        <w:t>不存在关联关系。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eastAsia="仿宋"/>
          <w:b/>
          <w:color w:val="000000"/>
          <w:kern w:val="0"/>
          <w:sz w:val="28"/>
          <w:szCs w:val="28"/>
          <w:highlight w:val="none"/>
        </w:rPr>
      </w:pPr>
      <w:r>
        <w:rPr>
          <w:rFonts w:hint="eastAsia" w:eastAsia="仿宋"/>
          <w:sz w:val="28"/>
          <w:szCs w:val="28"/>
          <w:highlight w:val="none"/>
          <w:lang w:val="en-US" w:eastAsia="zh-CN"/>
        </w:rPr>
        <w:t>3</w:t>
      </w:r>
      <w:r>
        <w:rPr>
          <w:rFonts w:hint="eastAsia" w:eastAsia="仿宋"/>
          <w:sz w:val="28"/>
          <w:szCs w:val="28"/>
          <w:highlight w:val="none"/>
        </w:rPr>
        <w:t>.经核实，</w:t>
      </w:r>
      <w:r>
        <w:rPr>
          <w:rFonts w:hint="eastAsia" w:eastAsia="仿宋"/>
          <w:sz w:val="28"/>
          <w:szCs w:val="28"/>
          <w:highlight w:val="none"/>
          <w:lang w:eastAsia="zh-CN"/>
        </w:rPr>
        <w:t>上港能源</w:t>
      </w:r>
      <w:r>
        <w:rPr>
          <w:rFonts w:hint="eastAsia" w:eastAsia="仿宋"/>
          <w:sz w:val="28"/>
          <w:szCs w:val="28"/>
          <w:highlight w:val="none"/>
        </w:rPr>
        <w:t>不是失信被执行人。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b/>
          <w:bCs/>
          <w:color w:val="auto"/>
          <w:kern w:val="2"/>
          <w:sz w:val="28"/>
          <w:szCs w:val="28"/>
          <w:highlight w:val="none"/>
          <w:lang w:eastAsia="zh-CN"/>
        </w:rPr>
      </w:pPr>
      <w:r>
        <w:rPr>
          <w:rFonts w:hint="eastAsia" w:ascii="仿宋_GB2312" w:hAnsi="仿宋" w:eastAsia="仿宋_GB2312" w:cs="Times New Roman"/>
          <w:b/>
          <w:bCs/>
          <w:color w:val="auto"/>
          <w:kern w:val="2"/>
          <w:sz w:val="28"/>
          <w:szCs w:val="28"/>
          <w:highlight w:val="none"/>
          <w:lang w:eastAsia="zh-CN"/>
        </w:rPr>
        <w:t>三、协议的主要内容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eastAsia="zh-CN"/>
        </w:rPr>
        <w:t>（一）</w:t>
      </w:r>
      <w:r>
        <w:rPr>
          <w:rFonts w:hint="eastAsia" w:hAnsi="仿宋" w:cs="Times New Roman"/>
          <w:color w:val="auto"/>
          <w:kern w:val="2"/>
          <w:sz w:val="28"/>
          <w:szCs w:val="28"/>
          <w:highlight w:val="none"/>
          <w:lang w:val="en-US" w:eastAsia="zh-CN"/>
        </w:rPr>
        <w:t>股东信息</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eastAsia="zh-CN"/>
        </w:rPr>
      </w:pPr>
      <w:r>
        <w:rPr>
          <w:rFonts w:hint="eastAsia" w:hAnsi="仿宋" w:cs="Times New Roman"/>
          <w:color w:val="auto"/>
          <w:kern w:val="2"/>
          <w:sz w:val="28"/>
          <w:szCs w:val="28"/>
          <w:highlight w:val="none"/>
          <w:lang w:val="en-US" w:eastAsia="zh-CN"/>
        </w:rPr>
        <w:t>股东一</w:t>
      </w:r>
      <w:r>
        <w:rPr>
          <w:rFonts w:hint="eastAsia" w:ascii="仿宋_GB2312" w:hAnsi="仿宋" w:eastAsia="仿宋_GB2312" w:cs="Times New Roman"/>
          <w:color w:val="auto"/>
          <w:kern w:val="2"/>
          <w:sz w:val="28"/>
          <w:szCs w:val="28"/>
          <w:highlight w:val="none"/>
          <w:lang w:eastAsia="zh-CN"/>
        </w:rPr>
        <w:t>：吉林电力股份有限公司</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hAnsi="仿宋"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股东二：中远海运国际（香港）有限公司</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hAnsi="仿宋"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股东三：上港集团能源（上海）有限公司</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val="en-US" w:eastAsia="zh-CN"/>
        </w:rPr>
        <w:t>（二）基本情况</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val="en-US" w:eastAsia="zh-CN"/>
        </w:rPr>
        <w:t>公司名称：上海吉远绿色能源有限公司（以备案核准名称为准，以下简称“</w:t>
      </w: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w:t>
      </w: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公司的住所、法定代表人、经营范围、经营期限等主体基本信息情况，以</w:t>
      </w: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公司章程约定且经市场监督管理部门登记规定为准。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公司注册地：中国（上海）自由贸易试验区临港新片区。</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val="en-US" w:eastAsia="zh-CN"/>
        </w:rPr>
        <w:t>（三）</w:t>
      </w: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公司定位、经营范围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val="en-US" w:eastAsia="zh-CN"/>
        </w:rPr>
        <w:t>1.合资公司是各方在本协议项下的绿色甲醇合作业务方面唯一的项目投资主体、技术研发主体、各类设备及服务的采购主体以及产品的销售和定价主体，对绿色甲醇产业链的生产环节负总责。</w:t>
      </w: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公司下设项目公司，由项目公司负责产品的生产。</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val="en-US" w:eastAsia="zh-CN"/>
        </w:rPr>
        <w:t>2.经营范围</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default" w:ascii="仿宋_GB2312" w:hAnsi="仿宋" w:eastAsia="仿宋_GB2312" w:cs="Times New Roman"/>
          <w:color w:val="auto"/>
          <w:kern w:val="2"/>
          <w:sz w:val="28"/>
          <w:szCs w:val="28"/>
          <w:highlight w:val="none"/>
          <w:lang w:val="en-US" w:eastAsia="zh-CN"/>
        </w:rPr>
        <w:t>许可项目：发电业务、输电业务、供（配）电业务；供电业务；燃气经营；道路货物运输（不含危险货物）；道路危险货物运输。（依法须经批准的项目，经相关部门批准后方可开展经营活动，具体经营项目以相关部门批准文件或许可证件为准）</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default" w:ascii="仿宋_GB2312" w:hAnsi="仿宋" w:eastAsia="仿宋_GB2312" w:cs="Times New Roman"/>
          <w:color w:val="auto"/>
          <w:kern w:val="2"/>
          <w:sz w:val="28"/>
          <w:szCs w:val="28"/>
          <w:highlight w:val="none"/>
          <w:lang w:val="en-US" w:eastAsia="zh-CN"/>
        </w:rPr>
        <w:t>一般项目：投资管理；以自有资金从事投资活动；生物质能技术服务；新兴能源技术研发；风力发电技术服务；太阳能发电技术服务；储能技术服务；工程和技术研究和试验发展；发电技术服务；合同能源管理；工程技术服务（规划管理、勘察、设计、监理除外）；热力生产和供应；企业管理；企业管理咨询；信息技术咨询服务；技术服务、技术开发、技术咨询、技术交流、技术转让、技术推广；咨询策划服务；环保咨询服务；信息系统集成服务；港口货物装卸搬运活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（四）</w:t>
      </w:r>
      <w:r>
        <w:rPr>
          <w:rFonts w:hint="eastAsia" w:ascii="仿宋_GB2312" w:hAnsi="仿宋" w:eastAsia="仿宋_GB2312" w:cs="Times New Roman"/>
          <w:color w:val="auto"/>
          <w:kern w:val="2"/>
          <w:sz w:val="28"/>
          <w:szCs w:val="28"/>
          <w:highlight w:val="none"/>
          <w:lang w:val="en-US" w:eastAsia="zh-CN"/>
        </w:rPr>
        <w:t>经营期限</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公司的经营期限为长期。</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（五）</w:t>
      </w:r>
      <w:r>
        <w:rPr>
          <w:rFonts w:hint="eastAsia" w:ascii="仿宋_GB2312" w:hAnsi="仿宋" w:eastAsia="仿宋_GB2312" w:cs="Times New Roman"/>
          <w:color w:val="auto"/>
          <w:kern w:val="2"/>
          <w:sz w:val="28"/>
          <w:szCs w:val="28"/>
          <w:highlight w:val="none"/>
          <w:lang w:val="en-US" w:eastAsia="zh-CN"/>
        </w:rPr>
        <w:t>注册资本和股权结构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val="en-US" w:eastAsia="zh-CN"/>
        </w:rPr>
        <w:t>1.合资公司注册资本：100,000万元人民币</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zh-TW" w:eastAsia="zh-CN"/>
        </w:rPr>
      </w:pPr>
      <w:r>
        <w:rPr>
          <w:rFonts w:hint="eastAsia" w:ascii="仿宋_GB2312" w:hAnsi="仿宋" w:eastAsia="仿宋_GB2312" w:cs="Times New Roman"/>
          <w:color w:val="auto"/>
          <w:kern w:val="2"/>
          <w:sz w:val="28"/>
          <w:szCs w:val="28"/>
          <w:highlight w:val="none"/>
          <w:lang w:val="en-US" w:eastAsia="zh-CN"/>
        </w:rPr>
        <w:t>2.</w:t>
      </w:r>
      <w:r>
        <w:rPr>
          <w:rFonts w:hint="eastAsia" w:ascii="仿宋_GB2312" w:hAnsi="仿宋" w:eastAsia="仿宋_GB2312" w:cs="Times New Roman"/>
          <w:color w:val="auto"/>
          <w:kern w:val="2"/>
          <w:sz w:val="28"/>
          <w:szCs w:val="28"/>
          <w:highlight w:val="none"/>
          <w:lang w:val="zh-TW" w:eastAsia="zh-CN"/>
        </w:rPr>
        <w:t>股权结构</w:t>
      </w:r>
    </w:p>
    <w:tbl>
      <w:tblPr>
        <w:tblStyle w:val="7"/>
        <w:tblW w:w="86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330"/>
        <w:gridCol w:w="1124"/>
        <w:gridCol w:w="1124"/>
        <w:gridCol w:w="1278"/>
        <w:gridCol w:w="156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02" w:type="dxa"/>
            <w:vMerge w:val="restart"/>
          </w:tcPr>
          <w:p>
            <w:pPr>
              <w:pStyle w:val="14"/>
              <w:spacing w:before="0"/>
              <w:ind w:left="0"/>
              <w:jc w:val="left"/>
              <w:rPr>
                <w:sz w:val="20"/>
              </w:rPr>
            </w:pPr>
          </w:p>
          <w:p>
            <w:pPr>
              <w:pStyle w:val="14"/>
              <w:spacing w:before="172"/>
              <w:ind w:left="129"/>
              <w:jc w:val="left"/>
              <w:rPr>
                <w:b/>
                <w:sz w:val="21"/>
              </w:rPr>
            </w:pPr>
            <w:r>
              <w:rPr>
                <w:b/>
                <w:sz w:val="21"/>
              </w:rPr>
              <w:t>股东名称</w:t>
            </w:r>
          </w:p>
        </w:tc>
        <w:tc>
          <w:tcPr>
            <w:tcW w:w="3578" w:type="dxa"/>
            <w:gridSpan w:val="3"/>
          </w:tcPr>
          <w:p>
            <w:pPr>
              <w:pStyle w:val="14"/>
              <w:spacing w:before="145"/>
              <w:ind w:left="1153"/>
              <w:jc w:val="left"/>
              <w:rPr>
                <w:b/>
                <w:sz w:val="21"/>
              </w:rPr>
            </w:pPr>
            <w:r>
              <w:rPr>
                <w:b/>
                <w:sz w:val="21"/>
              </w:rPr>
              <w:t>认缴出资情况</w:t>
            </w:r>
          </w:p>
        </w:tc>
        <w:tc>
          <w:tcPr>
            <w:tcW w:w="3973" w:type="dxa"/>
            <w:gridSpan w:val="3"/>
          </w:tcPr>
          <w:p>
            <w:pPr>
              <w:pStyle w:val="14"/>
              <w:spacing w:before="145"/>
              <w:ind w:left="1243"/>
              <w:jc w:val="left"/>
              <w:rPr>
                <w:b/>
                <w:sz w:val="21"/>
              </w:rPr>
            </w:pPr>
            <w:r>
              <w:rPr>
                <w:b/>
                <w:sz w:val="21"/>
              </w:rPr>
              <w:t>首期实缴出资额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02" w:type="dxa"/>
            <w:vMerge w:val="continue"/>
            <w:tcBorders>
              <w:top w:val="nil"/>
            </w:tcBorders>
          </w:tcPr>
          <w:p>
            <w:pPr>
              <w:rPr>
                <w:sz w:val="2"/>
                <w:szCs w:val="2"/>
              </w:rPr>
            </w:pPr>
          </w:p>
        </w:tc>
        <w:tc>
          <w:tcPr>
            <w:tcW w:w="1330" w:type="dxa"/>
          </w:tcPr>
          <w:p>
            <w:pPr>
              <w:pStyle w:val="14"/>
              <w:ind w:left="65" w:right="57"/>
              <w:rPr>
                <w:b/>
                <w:sz w:val="21"/>
              </w:rPr>
            </w:pPr>
            <w:r>
              <w:rPr>
                <w:b/>
                <w:sz w:val="21"/>
              </w:rPr>
              <w:t>出资金额</w:t>
            </w:r>
          </w:p>
        </w:tc>
        <w:tc>
          <w:tcPr>
            <w:tcW w:w="1124" w:type="dxa"/>
          </w:tcPr>
          <w:p>
            <w:pPr>
              <w:pStyle w:val="14"/>
              <w:ind w:right="110"/>
              <w:rPr>
                <w:b/>
                <w:sz w:val="21"/>
              </w:rPr>
            </w:pPr>
            <w:r>
              <w:rPr>
                <w:b/>
                <w:sz w:val="21"/>
              </w:rPr>
              <w:t>股权比例</w:t>
            </w:r>
          </w:p>
        </w:tc>
        <w:tc>
          <w:tcPr>
            <w:tcW w:w="1124" w:type="dxa"/>
          </w:tcPr>
          <w:p>
            <w:pPr>
              <w:pStyle w:val="14"/>
              <w:ind w:left="116" w:right="111"/>
              <w:rPr>
                <w:b/>
                <w:sz w:val="21"/>
              </w:rPr>
            </w:pPr>
            <w:r>
              <w:rPr>
                <w:b/>
                <w:sz w:val="21"/>
              </w:rPr>
              <w:t>出资方式</w:t>
            </w:r>
          </w:p>
        </w:tc>
        <w:tc>
          <w:tcPr>
            <w:tcW w:w="1278" w:type="dxa"/>
          </w:tcPr>
          <w:p>
            <w:pPr>
              <w:pStyle w:val="14"/>
              <w:ind w:left="89" w:right="86"/>
              <w:rPr>
                <w:b/>
                <w:sz w:val="21"/>
              </w:rPr>
            </w:pPr>
            <w:r>
              <w:rPr>
                <w:b/>
                <w:sz w:val="21"/>
              </w:rPr>
              <w:t>出资金额</w:t>
            </w:r>
          </w:p>
        </w:tc>
        <w:tc>
          <w:tcPr>
            <w:tcW w:w="1561" w:type="dxa"/>
          </w:tcPr>
          <w:p>
            <w:pPr>
              <w:pStyle w:val="14"/>
              <w:ind w:left="353"/>
              <w:jc w:val="left"/>
              <w:rPr>
                <w:b/>
                <w:sz w:val="21"/>
              </w:rPr>
            </w:pPr>
            <w:r>
              <w:rPr>
                <w:b/>
                <w:sz w:val="21"/>
              </w:rPr>
              <w:t>出资时间</w:t>
            </w:r>
          </w:p>
        </w:tc>
        <w:tc>
          <w:tcPr>
            <w:tcW w:w="1134" w:type="dxa"/>
          </w:tcPr>
          <w:p>
            <w:pPr>
              <w:pStyle w:val="14"/>
              <w:ind w:left="118" w:right="121"/>
              <w:rPr>
                <w:b/>
                <w:sz w:val="21"/>
              </w:rPr>
            </w:pPr>
            <w:r>
              <w:rPr>
                <w:b/>
                <w:sz w:val="21"/>
              </w:rPr>
              <w:t>出资方式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02" w:type="dxa"/>
          </w:tcPr>
          <w:p>
            <w:pPr>
              <w:pStyle w:val="14"/>
              <w:ind w:left="109" w:right="98"/>
              <w:rPr>
                <w:b/>
                <w:sz w:val="21"/>
              </w:rPr>
            </w:pPr>
            <w:r>
              <w:rPr>
                <w:b/>
                <w:sz w:val="21"/>
              </w:rPr>
              <w:t>吉电股份</w:t>
            </w:r>
          </w:p>
        </w:tc>
        <w:tc>
          <w:tcPr>
            <w:tcW w:w="1330" w:type="dxa"/>
          </w:tcPr>
          <w:p>
            <w:pPr>
              <w:pStyle w:val="14"/>
              <w:ind w:left="65" w:right="55"/>
              <w:rPr>
                <w:sz w:val="21"/>
              </w:rPr>
            </w:pPr>
            <w:r>
              <w:rPr>
                <w:sz w:val="21"/>
              </w:rPr>
              <w:t>55000 万元</w:t>
            </w:r>
          </w:p>
        </w:tc>
        <w:tc>
          <w:tcPr>
            <w:tcW w:w="1124" w:type="dxa"/>
          </w:tcPr>
          <w:p>
            <w:pPr>
              <w:pStyle w:val="14"/>
              <w:ind w:right="110"/>
              <w:rPr>
                <w:sz w:val="21"/>
              </w:rPr>
            </w:pPr>
            <w:r>
              <w:rPr>
                <w:sz w:val="21"/>
              </w:rPr>
              <w:t>55%</w:t>
            </w:r>
          </w:p>
        </w:tc>
        <w:tc>
          <w:tcPr>
            <w:tcW w:w="1124" w:type="dxa"/>
          </w:tcPr>
          <w:p>
            <w:pPr>
              <w:pStyle w:val="14"/>
              <w:ind w:right="111"/>
              <w:rPr>
                <w:sz w:val="21"/>
              </w:rPr>
            </w:pPr>
            <w:r>
              <w:rPr>
                <w:sz w:val="21"/>
              </w:rPr>
              <w:t>货币</w:t>
            </w:r>
          </w:p>
        </w:tc>
        <w:tc>
          <w:tcPr>
            <w:tcW w:w="1278" w:type="dxa"/>
          </w:tcPr>
          <w:p>
            <w:pPr>
              <w:pStyle w:val="14"/>
              <w:ind w:left="92" w:right="86"/>
              <w:rPr>
                <w:sz w:val="21"/>
              </w:rPr>
            </w:pPr>
            <w:r>
              <w:rPr>
                <w:sz w:val="21"/>
              </w:rPr>
              <w:t>5500 万元</w:t>
            </w:r>
          </w:p>
        </w:tc>
        <w:tc>
          <w:tcPr>
            <w:tcW w:w="1561" w:type="dxa"/>
            <w:vMerge w:val="restart"/>
          </w:tcPr>
          <w:p>
            <w:pPr>
              <w:pStyle w:val="14"/>
              <w:spacing w:before="0"/>
              <w:ind w:left="0"/>
              <w:jc w:val="left"/>
              <w:rPr>
                <w:sz w:val="20"/>
              </w:rPr>
            </w:pPr>
          </w:p>
          <w:p>
            <w:pPr>
              <w:pStyle w:val="14"/>
              <w:spacing w:before="2"/>
              <w:ind w:left="0"/>
              <w:jc w:val="left"/>
              <w:rPr>
                <w:sz w:val="14"/>
              </w:rPr>
            </w:pPr>
          </w:p>
          <w:p>
            <w:pPr>
              <w:pStyle w:val="14"/>
              <w:spacing w:before="0" w:line="242" w:lineRule="auto"/>
              <w:ind w:left="145" w:right="140" w:hanging="1"/>
              <w:rPr>
                <w:sz w:val="21"/>
              </w:rPr>
            </w:pPr>
            <w:r>
              <w:rPr>
                <w:rFonts w:hint="eastAsia"/>
                <w:sz w:val="21"/>
                <w:lang w:val="en-US" w:eastAsia="zh-CN"/>
              </w:rPr>
              <w:t>合资</w:t>
            </w:r>
            <w:r>
              <w:rPr>
                <w:sz w:val="21"/>
              </w:rPr>
              <w:t>公司成立后 3 个月内完成缴纳</w:t>
            </w:r>
          </w:p>
        </w:tc>
        <w:tc>
          <w:tcPr>
            <w:tcW w:w="1134" w:type="dxa"/>
          </w:tcPr>
          <w:p>
            <w:pPr>
              <w:pStyle w:val="14"/>
              <w:ind w:left="118" w:right="119"/>
              <w:rPr>
                <w:sz w:val="21"/>
              </w:rPr>
            </w:pPr>
            <w:r>
              <w:rPr>
                <w:sz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02" w:type="dxa"/>
          </w:tcPr>
          <w:p>
            <w:pPr>
              <w:pStyle w:val="14"/>
              <w:spacing w:before="5" w:line="270" w:lineRule="atLeast"/>
              <w:ind w:left="129" w:right="115"/>
              <w:jc w:val="left"/>
              <w:rPr>
                <w:b/>
                <w:sz w:val="21"/>
              </w:rPr>
            </w:pPr>
            <w:r>
              <w:rPr>
                <w:b/>
                <w:sz w:val="21"/>
              </w:rPr>
              <w:t>中远海运国际香港</w:t>
            </w:r>
          </w:p>
        </w:tc>
        <w:tc>
          <w:tcPr>
            <w:tcW w:w="1330" w:type="dxa"/>
          </w:tcPr>
          <w:p>
            <w:pPr>
              <w:pStyle w:val="14"/>
              <w:ind w:left="65" w:right="55"/>
              <w:rPr>
                <w:sz w:val="21"/>
              </w:rPr>
            </w:pPr>
            <w:r>
              <w:rPr>
                <w:sz w:val="21"/>
              </w:rPr>
              <w:t>35000 万元</w:t>
            </w:r>
          </w:p>
        </w:tc>
        <w:tc>
          <w:tcPr>
            <w:tcW w:w="1124" w:type="dxa"/>
          </w:tcPr>
          <w:p>
            <w:pPr>
              <w:pStyle w:val="14"/>
              <w:ind w:right="110"/>
              <w:rPr>
                <w:sz w:val="21"/>
              </w:rPr>
            </w:pPr>
            <w:r>
              <w:rPr>
                <w:sz w:val="21"/>
              </w:rPr>
              <w:t>35%</w:t>
            </w:r>
          </w:p>
        </w:tc>
        <w:tc>
          <w:tcPr>
            <w:tcW w:w="1124" w:type="dxa"/>
          </w:tcPr>
          <w:p>
            <w:pPr>
              <w:pStyle w:val="14"/>
              <w:ind w:right="111"/>
              <w:rPr>
                <w:sz w:val="21"/>
              </w:rPr>
            </w:pPr>
            <w:r>
              <w:rPr>
                <w:sz w:val="21"/>
              </w:rPr>
              <w:t>货币</w:t>
            </w:r>
          </w:p>
        </w:tc>
        <w:tc>
          <w:tcPr>
            <w:tcW w:w="1278" w:type="dxa"/>
          </w:tcPr>
          <w:p>
            <w:pPr>
              <w:pStyle w:val="14"/>
              <w:ind w:left="92" w:right="86"/>
              <w:rPr>
                <w:sz w:val="21"/>
              </w:rPr>
            </w:pPr>
            <w:r>
              <w:rPr>
                <w:sz w:val="21"/>
              </w:rPr>
              <w:t>3500 万元</w:t>
            </w:r>
          </w:p>
        </w:tc>
        <w:tc>
          <w:tcPr>
            <w:tcW w:w="1561" w:type="dxa"/>
            <w:vMerge w:val="continue"/>
            <w:tcBorders>
              <w:top w:val="nil"/>
            </w:tcBorders>
          </w:tcPr>
          <w:p>
            <w:pPr>
              <w:rPr>
                <w:sz w:val="2"/>
                <w:szCs w:val="2"/>
              </w:rPr>
            </w:pPr>
          </w:p>
        </w:tc>
        <w:tc>
          <w:tcPr>
            <w:tcW w:w="1134" w:type="dxa"/>
          </w:tcPr>
          <w:p>
            <w:pPr>
              <w:pStyle w:val="14"/>
              <w:ind w:left="118" w:right="120"/>
              <w:rPr>
                <w:sz w:val="21"/>
              </w:rPr>
            </w:pPr>
            <w:r>
              <w:rPr>
                <w:sz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02" w:type="dxa"/>
          </w:tcPr>
          <w:p>
            <w:pPr>
              <w:pStyle w:val="14"/>
              <w:ind w:left="109" w:right="98"/>
              <w:rPr>
                <w:b/>
                <w:sz w:val="21"/>
              </w:rPr>
            </w:pPr>
            <w:r>
              <w:rPr>
                <w:b/>
                <w:sz w:val="21"/>
              </w:rPr>
              <w:t>上港能源</w:t>
            </w:r>
          </w:p>
        </w:tc>
        <w:tc>
          <w:tcPr>
            <w:tcW w:w="1330" w:type="dxa"/>
          </w:tcPr>
          <w:p>
            <w:pPr>
              <w:pStyle w:val="14"/>
              <w:ind w:left="65" w:right="55"/>
              <w:rPr>
                <w:sz w:val="21"/>
              </w:rPr>
            </w:pPr>
            <w:r>
              <w:rPr>
                <w:sz w:val="21"/>
              </w:rPr>
              <w:t>10000 万元</w:t>
            </w:r>
          </w:p>
        </w:tc>
        <w:tc>
          <w:tcPr>
            <w:tcW w:w="1124" w:type="dxa"/>
          </w:tcPr>
          <w:p>
            <w:pPr>
              <w:pStyle w:val="14"/>
              <w:ind w:right="110"/>
              <w:rPr>
                <w:sz w:val="21"/>
              </w:rPr>
            </w:pPr>
            <w:r>
              <w:rPr>
                <w:sz w:val="21"/>
              </w:rPr>
              <w:t>10%</w:t>
            </w:r>
          </w:p>
        </w:tc>
        <w:tc>
          <w:tcPr>
            <w:tcW w:w="1124" w:type="dxa"/>
          </w:tcPr>
          <w:p>
            <w:pPr>
              <w:pStyle w:val="14"/>
              <w:ind w:right="111"/>
              <w:rPr>
                <w:sz w:val="21"/>
              </w:rPr>
            </w:pPr>
            <w:r>
              <w:rPr>
                <w:sz w:val="21"/>
              </w:rPr>
              <w:t>货币</w:t>
            </w:r>
          </w:p>
        </w:tc>
        <w:tc>
          <w:tcPr>
            <w:tcW w:w="1278" w:type="dxa"/>
          </w:tcPr>
          <w:p>
            <w:pPr>
              <w:pStyle w:val="14"/>
              <w:ind w:left="92" w:right="86"/>
              <w:rPr>
                <w:sz w:val="21"/>
              </w:rPr>
            </w:pPr>
            <w:r>
              <w:rPr>
                <w:sz w:val="21"/>
              </w:rPr>
              <w:t>1000 万元</w:t>
            </w:r>
          </w:p>
        </w:tc>
        <w:tc>
          <w:tcPr>
            <w:tcW w:w="1561" w:type="dxa"/>
            <w:vMerge w:val="continue"/>
            <w:tcBorders>
              <w:top w:val="nil"/>
            </w:tcBorders>
          </w:tcPr>
          <w:p>
            <w:pPr>
              <w:rPr>
                <w:sz w:val="2"/>
                <w:szCs w:val="2"/>
              </w:rPr>
            </w:pPr>
          </w:p>
        </w:tc>
        <w:tc>
          <w:tcPr>
            <w:tcW w:w="1134" w:type="dxa"/>
          </w:tcPr>
          <w:p>
            <w:pPr>
              <w:pStyle w:val="14"/>
              <w:ind w:left="118" w:right="120"/>
              <w:rPr>
                <w:sz w:val="21"/>
              </w:rPr>
            </w:pPr>
            <w:r>
              <w:rPr>
                <w:sz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02" w:type="dxa"/>
          </w:tcPr>
          <w:p>
            <w:pPr>
              <w:pStyle w:val="14"/>
              <w:ind w:left="104" w:right="98"/>
              <w:rPr>
                <w:b/>
                <w:sz w:val="21"/>
              </w:rPr>
            </w:pPr>
            <w:r>
              <w:rPr>
                <w:b/>
                <w:sz w:val="21"/>
              </w:rPr>
              <w:t>合计</w:t>
            </w:r>
          </w:p>
        </w:tc>
        <w:tc>
          <w:tcPr>
            <w:tcW w:w="1330" w:type="dxa"/>
          </w:tcPr>
          <w:p>
            <w:pPr>
              <w:pStyle w:val="14"/>
              <w:ind w:left="65" w:right="59"/>
              <w:rPr>
                <w:sz w:val="21"/>
              </w:rPr>
            </w:pPr>
            <w:r>
              <w:rPr>
                <w:sz w:val="21"/>
              </w:rPr>
              <w:t>100000 万元</w:t>
            </w:r>
          </w:p>
        </w:tc>
        <w:tc>
          <w:tcPr>
            <w:tcW w:w="1124" w:type="dxa"/>
          </w:tcPr>
          <w:p>
            <w:pPr>
              <w:pStyle w:val="14"/>
              <w:ind w:right="110"/>
              <w:rPr>
                <w:sz w:val="21"/>
              </w:rPr>
            </w:pPr>
            <w:r>
              <w:rPr>
                <w:sz w:val="21"/>
              </w:rPr>
              <w:t>100%</w:t>
            </w:r>
          </w:p>
        </w:tc>
        <w:tc>
          <w:tcPr>
            <w:tcW w:w="1124" w:type="dxa"/>
          </w:tcPr>
          <w:p>
            <w:pPr>
              <w:pStyle w:val="14"/>
              <w:spacing w:before="0"/>
              <w:ind w:left="0"/>
              <w:jc w:val="left"/>
              <w:rPr>
                <w:rFonts w:ascii="Times New Roman"/>
                <w:sz w:val="26"/>
              </w:rPr>
            </w:pPr>
          </w:p>
        </w:tc>
        <w:tc>
          <w:tcPr>
            <w:tcW w:w="1278" w:type="dxa"/>
          </w:tcPr>
          <w:p>
            <w:pPr>
              <w:pStyle w:val="14"/>
              <w:ind w:left="92" w:right="86"/>
              <w:rPr>
                <w:sz w:val="21"/>
              </w:rPr>
            </w:pPr>
            <w:r>
              <w:rPr>
                <w:sz w:val="21"/>
              </w:rPr>
              <w:t>10000 万元</w:t>
            </w:r>
          </w:p>
        </w:tc>
        <w:tc>
          <w:tcPr>
            <w:tcW w:w="1561" w:type="dxa"/>
          </w:tcPr>
          <w:p>
            <w:pPr>
              <w:pStyle w:val="14"/>
              <w:spacing w:before="0"/>
              <w:ind w:left="0"/>
              <w:jc w:val="left"/>
              <w:rPr>
                <w:rFonts w:ascii="Times New Roman"/>
                <w:sz w:val="26"/>
              </w:rPr>
            </w:pPr>
          </w:p>
        </w:tc>
        <w:tc>
          <w:tcPr>
            <w:tcW w:w="1134" w:type="dxa"/>
          </w:tcPr>
          <w:p>
            <w:pPr>
              <w:pStyle w:val="14"/>
              <w:spacing w:before="0"/>
              <w:ind w:left="0"/>
              <w:jc w:val="left"/>
              <w:rPr>
                <w:rFonts w:ascii="Times New Roman"/>
                <w:sz w:val="26"/>
              </w:rPr>
            </w:pPr>
          </w:p>
        </w:tc>
      </w:tr>
    </w:tbl>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hAnsi="仿宋"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合资公司股东的注册资本出资缴付期限：根据项目进度需求及时注资，但协议各方最迟应于合资公司成立后 5 年内完全缴纳认缴的注册资本。</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（六）</w:t>
      </w:r>
      <w:r>
        <w:rPr>
          <w:rFonts w:hint="eastAsia" w:ascii="仿宋_GB2312" w:hAnsi="仿宋" w:eastAsia="仿宋_GB2312" w:cs="Times New Roman"/>
          <w:color w:val="auto"/>
          <w:kern w:val="2"/>
          <w:sz w:val="28"/>
          <w:szCs w:val="28"/>
          <w:highlight w:val="none"/>
          <w:lang w:val="en-US" w:eastAsia="zh-CN"/>
        </w:rPr>
        <w:t>股东会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公司设股东会，由全体股东组成，股东会是</w:t>
      </w:r>
      <w:r>
        <w:rPr>
          <w:rFonts w:hint="eastAsia" w:hAnsi="仿宋" w:cs="Times New Roman"/>
          <w:color w:val="auto"/>
          <w:kern w:val="2"/>
          <w:sz w:val="28"/>
          <w:szCs w:val="28"/>
          <w:highlight w:val="none"/>
          <w:lang w:val="en-US" w:eastAsia="zh-CN"/>
        </w:rPr>
        <w:t>合资</w:t>
      </w:r>
      <w:r>
        <w:rPr>
          <w:rFonts w:hint="eastAsia" w:ascii="仿宋_GB2312" w:hAnsi="仿宋" w:eastAsia="仿宋_GB2312" w:cs="Times New Roman"/>
          <w:color w:val="auto"/>
          <w:kern w:val="2"/>
          <w:sz w:val="28"/>
          <w:szCs w:val="28"/>
          <w:highlight w:val="none"/>
          <w:lang w:val="en-US" w:eastAsia="zh-CN"/>
        </w:rPr>
        <w:t>公司最高权力机构。股东会依法行使职权。</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（七）</w:t>
      </w:r>
      <w:r>
        <w:rPr>
          <w:rFonts w:hint="eastAsia" w:ascii="仿宋_GB2312" w:hAnsi="仿宋" w:eastAsia="仿宋_GB2312" w:cs="Times New Roman"/>
          <w:color w:val="auto"/>
          <w:kern w:val="2"/>
          <w:sz w:val="28"/>
          <w:szCs w:val="28"/>
          <w:highlight w:val="none"/>
          <w:lang w:val="en-US" w:eastAsia="zh-CN"/>
        </w:rPr>
        <w:t>董事会</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eastAsia" w:ascii="仿宋_GB2312" w:hAnsi="仿宋" w:eastAsia="仿宋_GB2312" w:cs="Times New Roman"/>
          <w:color w:val="auto"/>
          <w:kern w:val="2"/>
          <w:sz w:val="28"/>
          <w:szCs w:val="28"/>
          <w:highlight w:val="none"/>
          <w:lang w:val="en-US" w:eastAsia="zh-CN"/>
        </w:rPr>
        <w:t>合资公司设董事会，董事会成员9名，其中董事长1人，副董事长1人。吉电股份推荐4名董事，其中董事长1人；中远海运国际香港推荐3名董事，其中副董事长1人；上港能源推荐1名董事；选举职工董事1名。</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ascii="仿宋_GB2312" w:hAnsi="仿宋" w:eastAsia="仿宋_GB2312" w:cs="Times New Roman"/>
          <w:color w:val="auto"/>
          <w:kern w:val="2"/>
          <w:sz w:val="28"/>
          <w:szCs w:val="28"/>
          <w:highlight w:val="none"/>
          <w:lang w:val="en-US" w:eastAsia="zh-CN"/>
        </w:rPr>
      </w:pPr>
      <w:r>
        <w:rPr>
          <w:rFonts w:hint="eastAsia" w:hAnsi="仿宋" w:cs="Times New Roman"/>
          <w:color w:val="auto"/>
          <w:kern w:val="2"/>
          <w:sz w:val="28"/>
          <w:szCs w:val="28"/>
          <w:highlight w:val="none"/>
          <w:lang w:val="en-US" w:eastAsia="zh-CN"/>
        </w:rPr>
        <w:t>（八）</w:t>
      </w:r>
      <w:r>
        <w:rPr>
          <w:rFonts w:hint="eastAsia" w:ascii="仿宋_GB2312" w:hAnsi="仿宋" w:eastAsia="仿宋_GB2312" w:cs="Times New Roman"/>
          <w:color w:val="auto"/>
          <w:kern w:val="2"/>
          <w:sz w:val="28"/>
          <w:szCs w:val="28"/>
          <w:highlight w:val="none"/>
          <w:lang w:val="en-US" w:eastAsia="zh-CN"/>
        </w:rPr>
        <w:t>经营管理机构</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default"/>
          <w:lang w:val="en-US" w:eastAsia="zh-CN"/>
        </w:rPr>
      </w:pPr>
      <w:r>
        <w:rPr>
          <w:rFonts w:hint="eastAsia" w:hAnsi="仿宋" w:cs="Times New Roman"/>
          <w:color w:val="auto"/>
          <w:kern w:val="2"/>
          <w:sz w:val="28"/>
          <w:szCs w:val="28"/>
          <w:highlight w:val="none"/>
          <w:lang w:val="en-US" w:eastAsia="zh-CN"/>
        </w:rPr>
        <w:t>合资</w:t>
      </w:r>
      <w:r>
        <w:rPr>
          <w:rFonts w:hint="default" w:ascii="仿宋_GB2312" w:hAnsi="仿宋" w:eastAsia="仿宋_GB2312" w:cs="Times New Roman"/>
          <w:color w:val="auto"/>
          <w:kern w:val="2"/>
          <w:sz w:val="28"/>
          <w:szCs w:val="28"/>
          <w:highlight w:val="none"/>
          <w:lang w:val="en-US" w:eastAsia="zh-CN"/>
        </w:rPr>
        <w:t>公司设总经理</w:t>
      </w:r>
      <w:r>
        <w:rPr>
          <w:rFonts w:hint="eastAsia" w:hAnsi="仿宋" w:cs="Times New Roman"/>
          <w:color w:val="auto"/>
          <w:kern w:val="2"/>
          <w:sz w:val="28"/>
          <w:szCs w:val="28"/>
          <w:highlight w:val="none"/>
          <w:lang w:val="en-US" w:eastAsia="zh-CN"/>
        </w:rPr>
        <w:t>1</w:t>
      </w:r>
      <w:r>
        <w:rPr>
          <w:rFonts w:hint="default" w:ascii="仿宋_GB2312" w:hAnsi="仿宋" w:eastAsia="仿宋_GB2312" w:cs="Times New Roman"/>
          <w:color w:val="auto"/>
          <w:kern w:val="2"/>
          <w:sz w:val="28"/>
          <w:szCs w:val="28"/>
          <w:highlight w:val="none"/>
          <w:lang w:val="en-US" w:eastAsia="zh-CN"/>
        </w:rPr>
        <w:t>名，为</w:t>
      </w:r>
      <w:r>
        <w:rPr>
          <w:rFonts w:hint="eastAsia" w:hAnsi="仿宋" w:cs="Times New Roman"/>
          <w:color w:val="auto"/>
          <w:kern w:val="2"/>
          <w:sz w:val="28"/>
          <w:szCs w:val="28"/>
          <w:highlight w:val="none"/>
          <w:lang w:val="en-US" w:eastAsia="zh-CN"/>
        </w:rPr>
        <w:t>合资</w:t>
      </w:r>
      <w:r>
        <w:rPr>
          <w:rFonts w:hint="default" w:ascii="仿宋_GB2312" w:hAnsi="仿宋" w:eastAsia="仿宋_GB2312" w:cs="Times New Roman"/>
          <w:color w:val="auto"/>
          <w:kern w:val="2"/>
          <w:sz w:val="28"/>
          <w:szCs w:val="28"/>
          <w:highlight w:val="none"/>
          <w:lang w:val="en-US" w:eastAsia="zh-CN"/>
        </w:rPr>
        <w:t>公司的法定代表人。</w:t>
      </w:r>
      <w:r>
        <w:rPr>
          <w:rFonts w:hint="eastAsia" w:hAnsi="仿宋" w:cs="Times New Roman"/>
          <w:color w:val="auto"/>
          <w:kern w:val="2"/>
          <w:sz w:val="28"/>
          <w:szCs w:val="28"/>
          <w:highlight w:val="none"/>
          <w:lang w:val="en-US" w:eastAsia="zh-CN"/>
        </w:rPr>
        <w:t>合资</w:t>
      </w:r>
      <w:r>
        <w:rPr>
          <w:rFonts w:hint="default" w:ascii="仿宋_GB2312" w:hAnsi="仿宋" w:eastAsia="仿宋_GB2312" w:cs="Times New Roman"/>
          <w:color w:val="auto"/>
          <w:kern w:val="2"/>
          <w:sz w:val="28"/>
          <w:szCs w:val="28"/>
          <w:highlight w:val="none"/>
          <w:lang w:val="en-US" w:eastAsia="zh-CN"/>
        </w:rPr>
        <w:t>公司设常务副总经理</w:t>
      </w:r>
      <w:r>
        <w:rPr>
          <w:rFonts w:hint="eastAsia" w:hAnsi="仿宋" w:cs="Times New Roman"/>
          <w:color w:val="auto"/>
          <w:kern w:val="2"/>
          <w:sz w:val="28"/>
          <w:szCs w:val="28"/>
          <w:highlight w:val="none"/>
          <w:lang w:val="en-US" w:eastAsia="zh-CN"/>
        </w:rPr>
        <w:t>1</w:t>
      </w:r>
      <w:r>
        <w:rPr>
          <w:rFonts w:hint="default" w:ascii="仿宋_GB2312" w:hAnsi="仿宋" w:eastAsia="仿宋_GB2312" w:cs="Times New Roman"/>
          <w:color w:val="auto"/>
          <w:kern w:val="2"/>
          <w:sz w:val="28"/>
          <w:szCs w:val="28"/>
          <w:highlight w:val="none"/>
          <w:lang w:val="en-US" w:eastAsia="zh-CN"/>
        </w:rPr>
        <w:t>名、副总经理</w:t>
      </w:r>
      <w:r>
        <w:rPr>
          <w:rFonts w:hint="eastAsia" w:hAnsi="仿宋" w:cs="Times New Roman"/>
          <w:color w:val="auto"/>
          <w:kern w:val="2"/>
          <w:sz w:val="28"/>
          <w:szCs w:val="28"/>
          <w:highlight w:val="none"/>
          <w:lang w:val="en-US" w:eastAsia="zh-CN"/>
        </w:rPr>
        <w:t>1</w:t>
      </w:r>
      <w:r>
        <w:rPr>
          <w:rFonts w:hint="default" w:ascii="仿宋_GB2312" w:hAnsi="仿宋" w:eastAsia="仿宋_GB2312" w:cs="Times New Roman"/>
          <w:color w:val="auto"/>
          <w:kern w:val="2"/>
          <w:sz w:val="28"/>
          <w:szCs w:val="28"/>
          <w:highlight w:val="none"/>
          <w:lang w:val="en-US" w:eastAsia="zh-CN"/>
        </w:rPr>
        <w:t>名、财务总监</w:t>
      </w:r>
      <w:r>
        <w:rPr>
          <w:rFonts w:hint="eastAsia" w:hAnsi="仿宋" w:cs="Times New Roman"/>
          <w:color w:val="auto"/>
          <w:kern w:val="2"/>
          <w:sz w:val="28"/>
          <w:szCs w:val="28"/>
          <w:highlight w:val="none"/>
          <w:lang w:val="en-US" w:eastAsia="zh-CN"/>
        </w:rPr>
        <w:t>1</w:t>
      </w:r>
      <w:r>
        <w:rPr>
          <w:rFonts w:hint="default" w:ascii="仿宋_GB2312" w:hAnsi="仿宋" w:eastAsia="仿宋_GB2312" w:cs="Times New Roman"/>
          <w:color w:val="auto"/>
          <w:kern w:val="2"/>
          <w:sz w:val="28"/>
          <w:szCs w:val="28"/>
          <w:highlight w:val="none"/>
          <w:lang w:val="en-US" w:eastAsia="zh-CN"/>
        </w:rPr>
        <w:t>名，总工程师</w:t>
      </w:r>
      <w:r>
        <w:rPr>
          <w:rFonts w:hint="eastAsia" w:hAnsi="仿宋" w:cs="Times New Roman"/>
          <w:color w:val="auto"/>
          <w:kern w:val="2"/>
          <w:sz w:val="28"/>
          <w:szCs w:val="28"/>
          <w:highlight w:val="none"/>
          <w:lang w:val="en-US" w:eastAsia="zh-CN"/>
        </w:rPr>
        <w:t>1</w:t>
      </w:r>
      <w:r>
        <w:rPr>
          <w:rFonts w:hint="default" w:ascii="仿宋_GB2312" w:hAnsi="仿宋" w:eastAsia="仿宋_GB2312" w:cs="Times New Roman"/>
          <w:color w:val="auto"/>
          <w:kern w:val="2"/>
          <w:sz w:val="28"/>
          <w:szCs w:val="28"/>
          <w:highlight w:val="none"/>
          <w:lang w:val="en-US" w:eastAsia="zh-CN"/>
        </w:rPr>
        <w:t>名，协助总经理工作。</w:t>
      </w:r>
    </w:p>
    <w:p>
      <w:pPr>
        <w:pStyle w:val="6"/>
        <w:keepNext w:val="0"/>
        <w:keepLines w:val="0"/>
        <w:pageBreakBefore w:val="0"/>
        <w:numPr>
          <w:ilvl w:val="0"/>
          <w:numId w:val="0"/>
        </w:numPr>
        <w:kinsoku/>
        <w:wordWrap/>
        <w:overflowPunct/>
        <w:topLinePunct w:val="0"/>
        <w:bidi w:val="0"/>
        <w:spacing w:line="580" w:lineRule="exact"/>
        <w:ind w:leftChars="200"/>
        <w:rPr>
          <w:rFonts w:hint="default"/>
          <w:lang w:val="en-US" w:eastAsia="zh-CN"/>
        </w:rPr>
      </w:pPr>
      <w:r>
        <w:rPr>
          <w:rFonts w:hint="eastAsia"/>
          <w:lang w:val="en-US" w:eastAsia="zh-CN"/>
        </w:rPr>
        <w:t>（九）监事</w:t>
      </w:r>
    </w:p>
    <w:p>
      <w:pPr>
        <w:pStyle w:val="6"/>
        <w:keepNext w:val="0"/>
        <w:keepLines w:val="0"/>
        <w:pageBreakBefore w:val="0"/>
        <w:numPr>
          <w:ilvl w:val="0"/>
          <w:numId w:val="0"/>
        </w:numPr>
        <w:kinsoku/>
        <w:wordWrap/>
        <w:overflowPunct/>
        <w:topLinePunct w:val="0"/>
        <w:bidi w:val="0"/>
        <w:spacing w:line="580" w:lineRule="exact"/>
        <w:ind w:firstLine="560" w:firstLineChars="200"/>
        <w:rPr>
          <w:rFonts w:hint="default"/>
          <w:lang w:val="en-US" w:eastAsia="zh-CN"/>
        </w:rPr>
      </w:pPr>
      <w:r>
        <w:rPr>
          <w:rFonts w:hint="eastAsia"/>
          <w:lang w:val="en-US" w:eastAsia="zh-CN"/>
        </w:rPr>
        <w:t>合资</w:t>
      </w:r>
      <w:r>
        <w:rPr>
          <w:rFonts w:hint="default"/>
          <w:lang w:val="en-US" w:eastAsia="zh-CN"/>
        </w:rPr>
        <w:t>公司不设监事会，设监事</w:t>
      </w:r>
      <w:r>
        <w:rPr>
          <w:rFonts w:hint="eastAsia"/>
          <w:lang w:val="en-US" w:eastAsia="zh-CN"/>
        </w:rPr>
        <w:t>2</w:t>
      </w:r>
      <w:r>
        <w:rPr>
          <w:rFonts w:hint="default"/>
          <w:lang w:val="en-US" w:eastAsia="zh-CN"/>
        </w:rPr>
        <w:t>名，由吉电股份提名1名，中远海运国际香港提名</w:t>
      </w:r>
      <w:r>
        <w:rPr>
          <w:rFonts w:hint="eastAsia"/>
          <w:lang w:val="en-US" w:eastAsia="zh-CN"/>
        </w:rPr>
        <w:t>1</w:t>
      </w:r>
      <w:r>
        <w:rPr>
          <w:rFonts w:hint="default"/>
          <w:lang w:val="en-US" w:eastAsia="zh-CN"/>
        </w:rPr>
        <w:t>名，并经</w:t>
      </w:r>
      <w:r>
        <w:rPr>
          <w:rFonts w:hint="eastAsia"/>
          <w:lang w:val="en-US" w:eastAsia="zh-CN"/>
        </w:rPr>
        <w:t>合资</w:t>
      </w:r>
      <w:r>
        <w:rPr>
          <w:rFonts w:hint="default"/>
          <w:lang w:val="en-US" w:eastAsia="zh-CN"/>
        </w:rPr>
        <w:t>公司股东会选举产生。董事、高级管理人员不得兼任监事。</w:t>
      </w:r>
    </w:p>
    <w:p>
      <w:pPr>
        <w:pStyle w:val="6"/>
        <w:keepNext w:val="0"/>
        <w:keepLines w:val="0"/>
        <w:pageBreakBefore w:val="0"/>
        <w:numPr>
          <w:ilvl w:val="0"/>
          <w:numId w:val="0"/>
        </w:numPr>
        <w:kinsoku/>
        <w:wordWrap/>
        <w:overflowPunct/>
        <w:topLinePunct w:val="0"/>
        <w:bidi w:val="0"/>
        <w:spacing w:line="580" w:lineRule="exact"/>
        <w:ind w:leftChars="200"/>
        <w:rPr>
          <w:rFonts w:hint="default"/>
          <w:lang w:val="en-US" w:eastAsia="zh-CN"/>
        </w:rPr>
      </w:pPr>
      <w:r>
        <w:rPr>
          <w:rFonts w:hint="eastAsia"/>
          <w:lang w:val="en-US" w:eastAsia="zh-CN"/>
        </w:rPr>
        <w:t>（十）违约责任</w:t>
      </w:r>
    </w:p>
    <w:p>
      <w:pPr>
        <w:pStyle w:val="6"/>
        <w:keepNext w:val="0"/>
        <w:keepLines w:val="0"/>
        <w:pageBreakBefore w:val="0"/>
        <w:numPr>
          <w:ilvl w:val="0"/>
          <w:numId w:val="0"/>
        </w:numPr>
        <w:kinsoku/>
        <w:wordWrap/>
        <w:overflowPunct/>
        <w:topLinePunct w:val="0"/>
        <w:bidi w:val="0"/>
        <w:spacing w:line="580" w:lineRule="exact"/>
        <w:ind w:firstLine="560" w:firstLineChars="200"/>
        <w:rPr>
          <w:rFonts w:hint="eastAsia" w:ascii="仿宋_GB2312" w:hAnsi="仿宋" w:eastAsia="仿宋_GB2312" w:cs="Times New Roman"/>
          <w:color w:val="auto"/>
          <w:kern w:val="2"/>
          <w:sz w:val="28"/>
          <w:szCs w:val="28"/>
          <w:highlight w:val="none"/>
          <w:lang w:val="en-US" w:eastAsia="zh-CN"/>
        </w:rPr>
      </w:pPr>
      <w:r>
        <w:rPr>
          <w:rFonts w:hint="default"/>
          <w:lang w:val="en-US" w:eastAsia="zh-CN"/>
        </w:rPr>
        <w:t>协议各方有违反或不履行本协议及</w:t>
      </w:r>
      <w:r>
        <w:rPr>
          <w:rFonts w:hint="eastAsia"/>
          <w:lang w:val="en-US" w:eastAsia="zh-CN"/>
        </w:rPr>
        <w:t>合资</w:t>
      </w:r>
      <w:r>
        <w:rPr>
          <w:rFonts w:hint="default"/>
          <w:lang w:val="en-US" w:eastAsia="zh-CN"/>
        </w:rPr>
        <w:t>公司章程约定义务的，应当继续履行、采取补救措施，并赔偿</w:t>
      </w:r>
      <w:r>
        <w:rPr>
          <w:rFonts w:hint="eastAsia"/>
          <w:lang w:val="en-US" w:eastAsia="zh-CN"/>
        </w:rPr>
        <w:t>合资</w:t>
      </w:r>
      <w:r>
        <w:rPr>
          <w:rFonts w:hint="default"/>
          <w:lang w:val="en-US" w:eastAsia="zh-CN"/>
        </w:rPr>
        <w:t>公司与守约方的一切经济损失，包括直接经济损失和间接经济损失及产生的所有相关法律费用</w:t>
      </w:r>
      <w:r>
        <w:rPr>
          <w:rFonts w:hint="eastAsia" w:hAnsi="仿宋" w:cs="Times New Roman"/>
          <w:color w:val="auto"/>
          <w:kern w:val="2"/>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b/>
          <w:bCs/>
          <w:color w:val="auto"/>
          <w:kern w:val="2"/>
          <w:sz w:val="28"/>
          <w:szCs w:val="28"/>
          <w:highlight w:val="none"/>
          <w:lang w:eastAsia="zh-CN"/>
        </w:rPr>
      </w:pPr>
      <w:r>
        <w:rPr>
          <w:rFonts w:hint="eastAsia" w:ascii="仿宋_GB2312" w:hAnsi="仿宋" w:eastAsia="仿宋_GB2312" w:cs="Times New Roman"/>
          <w:b/>
          <w:bCs/>
          <w:color w:val="auto"/>
          <w:kern w:val="2"/>
          <w:sz w:val="28"/>
          <w:szCs w:val="28"/>
          <w:highlight w:val="none"/>
          <w:lang w:eastAsia="zh-CN"/>
        </w:rPr>
        <w:t>四、协议对本公司的影响</w:t>
      </w:r>
    </w:p>
    <w:p>
      <w:pPr>
        <w:pStyle w:val="13"/>
        <w:keepNext w:val="0"/>
        <w:keepLines w:val="0"/>
        <w:pageBreakBefore w:val="0"/>
        <w:widowControl w:val="0"/>
        <w:kinsoku/>
        <w:wordWrap/>
        <w:overflowPunct/>
        <w:topLinePunct w:val="0"/>
        <w:bidi w:val="0"/>
        <w:snapToGrid/>
        <w:spacing w:line="580" w:lineRule="exact"/>
        <w:ind w:firstLine="560" w:firstLineChars="200"/>
        <w:textAlignment w:val="auto"/>
        <w:rPr>
          <w:rFonts w:hAnsi="仿宋" w:eastAsia="仿宋"/>
          <w:sz w:val="28"/>
          <w:szCs w:val="28"/>
          <w:highlight w:val="none"/>
        </w:rPr>
      </w:pPr>
      <w:r>
        <w:rPr>
          <w:rFonts w:hint="eastAsia" w:hAnsi="仿宋" w:eastAsia="仿宋"/>
          <w:sz w:val="28"/>
          <w:szCs w:val="28"/>
          <w:highlight w:val="none"/>
        </w:rPr>
        <w:t>为构建具有可持续发展能力的绿色甲醇产业链，树立现代化产业体系中的合作典范</w:t>
      </w:r>
      <w:r>
        <w:rPr>
          <w:rFonts w:hint="eastAsia" w:hAnsi="仿宋" w:eastAsia="仿宋"/>
          <w:sz w:val="28"/>
          <w:szCs w:val="28"/>
          <w:highlight w:val="none"/>
          <w:lang w:eastAsia="zh-CN"/>
        </w:rPr>
        <w:t>，</w:t>
      </w:r>
      <w:r>
        <w:rPr>
          <w:rFonts w:hint="eastAsia" w:hAnsi="仿宋" w:eastAsia="仿宋"/>
          <w:color w:val="000000"/>
          <w:kern w:val="0"/>
          <w:sz w:val="28"/>
          <w:szCs w:val="28"/>
          <w:highlight w:val="none"/>
        </w:rPr>
        <w:t>公司</w:t>
      </w:r>
      <w:r>
        <w:rPr>
          <w:rFonts w:hint="eastAsia" w:hAnsi="仿宋" w:eastAsia="仿宋"/>
          <w:color w:val="000000"/>
          <w:kern w:val="0"/>
          <w:sz w:val="28"/>
          <w:szCs w:val="28"/>
          <w:highlight w:val="none"/>
          <w:lang w:val="en-US" w:eastAsia="zh-CN"/>
        </w:rPr>
        <w:t>与</w:t>
      </w:r>
      <w:r>
        <w:rPr>
          <w:rFonts w:hint="eastAsia" w:hAnsi="仿宋" w:eastAsia="仿宋"/>
          <w:color w:val="000000"/>
          <w:kern w:val="0"/>
          <w:sz w:val="28"/>
          <w:szCs w:val="28"/>
          <w:highlight w:val="none"/>
        </w:rPr>
        <w:t>中远海运国际</w:t>
      </w:r>
      <w:r>
        <w:rPr>
          <w:rFonts w:hint="eastAsia" w:hAnsi="仿宋" w:eastAsia="仿宋"/>
          <w:color w:val="000000"/>
          <w:kern w:val="0"/>
          <w:sz w:val="28"/>
          <w:szCs w:val="28"/>
          <w:highlight w:val="none"/>
          <w:lang w:val="en-US" w:eastAsia="zh-CN"/>
        </w:rPr>
        <w:t>香港</w:t>
      </w:r>
      <w:r>
        <w:rPr>
          <w:rFonts w:hint="eastAsia" w:hAnsi="仿宋" w:eastAsia="仿宋"/>
          <w:color w:val="000000"/>
          <w:kern w:val="0"/>
          <w:sz w:val="28"/>
          <w:szCs w:val="28"/>
          <w:highlight w:val="none"/>
        </w:rPr>
        <w:t>、</w:t>
      </w:r>
      <w:r>
        <w:rPr>
          <w:rFonts w:hint="eastAsia" w:hAnsi="仿宋" w:eastAsia="仿宋"/>
          <w:color w:val="000000"/>
          <w:kern w:val="0"/>
          <w:sz w:val="28"/>
          <w:szCs w:val="28"/>
          <w:highlight w:val="none"/>
          <w:lang w:eastAsia="zh-CN"/>
        </w:rPr>
        <w:t>上港能源</w:t>
      </w:r>
      <w:r>
        <w:rPr>
          <w:rFonts w:hint="eastAsia" w:hAnsi="仿宋" w:eastAsia="仿宋"/>
          <w:sz w:val="28"/>
          <w:szCs w:val="28"/>
          <w:highlight w:val="none"/>
        </w:rPr>
        <w:t>成立合资公司，发挥各自优势，实现互利共赢</w:t>
      </w:r>
      <w:r>
        <w:rPr>
          <w:rFonts w:hint="eastAsia" w:hAnsi="仿宋" w:eastAsia="仿宋"/>
          <w:sz w:val="28"/>
          <w:szCs w:val="28"/>
          <w:highlight w:val="none"/>
          <w:lang w:eastAsia="zh-CN"/>
        </w:rPr>
        <w:t>。</w:t>
      </w:r>
      <w:r>
        <w:rPr>
          <w:rFonts w:hint="eastAsia" w:hAnsi="仿宋" w:eastAsia="仿宋"/>
          <w:sz w:val="28"/>
          <w:szCs w:val="28"/>
          <w:highlight w:val="none"/>
        </w:rPr>
        <w:t>以绿色甲醇产业为基础，推动其他航运绿色燃料的研究和应用，助力国家新能源转型，为应对全球气候变化及实现我国双碳目标贡献力量。发展氢基绿色能源符合公司发展的需要，对公司整体效益的提升具有积极作用。</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560" w:firstLineChars="200"/>
        <w:jc w:val="both"/>
        <w:textAlignment w:val="auto"/>
        <w:rPr>
          <w:rFonts w:hint="eastAsia" w:ascii="仿宋_GB2312" w:hAnsi="仿宋" w:eastAsia="仿宋_GB2312" w:cs="Times New Roman"/>
          <w:b/>
          <w:bCs/>
          <w:color w:val="auto"/>
          <w:kern w:val="2"/>
          <w:sz w:val="28"/>
          <w:szCs w:val="28"/>
          <w:highlight w:val="none"/>
          <w:lang w:eastAsia="zh-CN"/>
        </w:rPr>
      </w:pPr>
      <w:r>
        <w:rPr>
          <w:rFonts w:hint="eastAsia" w:ascii="仿宋_GB2312" w:hAnsi="仿宋" w:eastAsia="仿宋_GB2312" w:cs="Times New Roman"/>
          <w:b/>
          <w:bCs/>
          <w:color w:val="auto"/>
          <w:kern w:val="2"/>
          <w:sz w:val="28"/>
          <w:szCs w:val="28"/>
          <w:highlight w:val="none"/>
          <w:lang w:eastAsia="zh-CN"/>
        </w:rPr>
        <w:t>五、风险提示</w:t>
      </w:r>
    </w:p>
    <w:p>
      <w:pPr>
        <w:keepNext w:val="0"/>
        <w:keepLines w:val="0"/>
        <w:pageBreakBefore w:val="0"/>
        <w:widowControl w:val="0"/>
        <w:kinsoku/>
        <w:wordWrap/>
        <w:overflowPunct/>
        <w:topLinePunct w:val="0"/>
        <w:bidi w:val="0"/>
        <w:snapToGrid/>
        <w:spacing w:line="580" w:lineRule="exact"/>
        <w:ind w:firstLine="560" w:firstLineChars="200"/>
        <w:textAlignment w:val="auto"/>
        <w:rPr>
          <w:rFonts w:hAnsi="仿宋" w:eastAsia="仿宋"/>
          <w:kern w:val="0"/>
          <w:sz w:val="28"/>
          <w:szCs w:val="28"/>
          <w:highlight w:val="none"/>
        </w:rPr>
      </w:pPr>
      <w:r>
        <w:rPr>
          <w:rFonts w:hint="eastAsia" w:hAnsi="仿宋" w:eastAsia="仿宋"/>
          <w:kern w:val="0"/>
          <w:sz w:val="28"/>
          <w:szCs w:val="28"/>
          <w:highlight w:val="none"/>
        </w:rPr>
        <w:t>绿色甲醇市场价格波动或不达预期，对项目经济效益、经营等方面造成影响。</w:t>
      </w:r>
    </w:p>
    <w:p>
      <w:pPr>
        <w:keepNext w:val="0"/>
        <w:keepLines w:val="0"/>
        <w:pageBreakBefore w:val="0"/>
        <w:widowControl w:val="0"/>
        <w:kinsoku/>
        <w:wordWrap/>
        <w:overflowPunct/>
        <w:topLinePunct w:val="0"/>
        <w:bidi w:val="0"/>
        <w:snapToGrid/>
        <w:spacing w:line="580" w:lineRule="exact"/>
        <w:ind w:firstLine="570"/>
        <w:textAlignment w:val="auto"/>
        <w:rPr>
          <w:rFonts w:hAnsi="仿宋" w:eastAsia="仿宋"/>
          <w:kern w:val="0"/>
          <w:sz w:val="28"/>
          <w:szCs w:val="28"/>
          <w:highlight w:val="none"/>
        </w:rPr>
      </w:pPr>
      <w:r>
        <w:rPr>
          <w:rFonts w:hAnsi="仿宋" w:eastAsia="仿宋"/>
          <w:kern w:val="0"/>
          <w:sz w:val="28"/>
          <w:szCs w:val="28"/>
          <w:highlight w:val="none"/>
        </w:rPr>
        <w:t>应对措施：</w:t>
      </w:r>
    </w:p>
    <w:p>
      <w:pPr>
        <w:pStyle w:val="13"/>
        <w:keepNext w:val="0"/>
        <w:keepLines w:val="0"/>
        <w:pageBreakBefore w:val="0"/>
        <w:widowControl w:val="0"/>
        <w:kinsoku/>
        <w:wordWrap/>
        <w:overflowPunct/>
        <w:topLinePunct w:val="0"/>
        <w:bidi w:val="0"/>
        <w:snapToGrid/>
        <w:spacing w:line="580" w:lineRule="exact"/>
        <w:ind w:firstLine="560" w:firstLineChars="200"/>
        <w:textAlignment w:val="auto"/>
        <w:rPr>
          <w:rFonts w:ascii="Times New Roman" w:hAnsi="仿宋" w:eastAsia="仿宋" w:cs="Times New Roman"/>
          <w:color w:val="auto"/>
          <w:sz w:val="28"/>
          <w:szCs w:val="28"/>
          <w:highlight w:val="none"/>
        </w:rPr>
      </w:pPr>
      <w:r>
        <w:rPr>
          <w:rFonts w:hint="eastAsia" w:ascii="Times New Roman" w:hAnsi="仿宋" w:eastAsia="仿宋" w:cs="Times New Roman"/>
          <w:color w:val="auto"/>
          <w:sz w:val="28"/>
          <w:szCs w:val="28"/>
          <w:highlight w:val="none"/>
        </w:rPr>
        <w:t>一是拓展多元化市场，包括不同地理区域和行业的市场，扩大跨国、跨行业客户基础，减轻对单一市场需求的依赖。</w:t>
      </w:r>
    </w:p>
    <w:p>
      <w:pPr>
        <w:keepNext w:val="0"/>
        <w:keepLines w:val="0"/>
        <w:pageBreakBefore w:val="0"/>
        <w:kinsoku/>
        <w:wordWrap/>
        <w:overflowPunct/>
        <w:topLinePunct w:val="0"/>
        <w:bidi w:val="0"/>
        <w:spacing w:line="580" w:lineRule="exact"/>
        <w:ind w:firstLine="480"/>
        <w:rPr>
          <w:rFonts w:hint="eastAsia" w:ascii="Times New Roman" w:hAnsi="仿宋" w:eastAsia="仿宋" w:cs="Times New Roman"/>
          <w:color w:val="auto"/>
          <w:sz w:val="28"/>
          <w:szCs w:val="28"/>
          <w:highlight w:val="none"/>
        </w:rPr>
      </w:pPr>
      <w:r>
        <w:rPr>
          <w:rFonts w:hint="eastAsia" w:ascii="Times New Roman" w:hAnsi="仿宋" w:eastAsia="仿宋" w:cs="Times New Roman"/>
          <w:color w:val="auto"/>
          <w:sz w:val="28"/>
          <w:szCs w:val="28"/>
          <w:highlight w:val="none"/>
        </w:rPr>
        <w:t>二是紧密跟进市场变动，全面做好市场调研，积极了解市场趋势和竞争情况，更好地预测并应对市场需求和价格变化。</w:t>
      </w:r>
    </w:p>
    <w:p>
      <w:pPr>
        <w:keepNext w:val="0"/>
        <w:keepLines w:val="0"/>
        <w:pageBreakBefore w:val="0"/>
        <w:kinsoku/>
        <w:wordWrap/>
        <w:overflowPunct/>
        <w:topLinePunct w:val="0"/>
        <w:bidi w:val="0"/>
        <w:spacing w:line="580" w:lineRule="exact"/>
        <w:ind w:firstLine="480"/>
        <w:rPr>
          <w:rFonts w:hint="eastAsia" w:ascii="Times New Roman" w:hAnsi="仿宋" w:eastAsia="仿宋" w:cs="仿宋"/>
          <w:b/>
          <w:bCs/>
          <w:szCs w:val="28"/>
        </w:rPr>
      </w:pPr>
      <w:r>
        <w:rPr>
          <w:rFonts w:hint="eastAsia" w:ascii="Times New Roman" w:hAnsi="仿宋" w:eastAsia="仿宋" w:cs="仿宋"/>
          <w:b/>
          <w:bCs/>
          <w:szCs w:val="28"/>
        </w:rPr>
        <w:t>六、备查文件</w:t>
      </w:r>
    </w:p>
    <w:p>
      <w:pPr>
        <w:keepNext w:val="0"/>
        <w:keepLines w:val="0"/>
        <w:pageBreakBefore w:val="0"/>
        <w:kinsoku/>
        <w:wordWrap/>
        <w:overflowPunct/>
        <w:topLinePunct w:val="0"/>
        <w:bidi w:val="0"/>
        <w:spacing w:line="580" w:lineRule="exact"/>
        <w:ind w:firstLine="640"/>
        <w:jc w:val="left"/>
        <w:rPr>
          <w:rFonts w:hint="eastAsia" w:ascii="Times New Roman" w:hAnsi="仿宋" w:eastAsia="仿宋" w:cs="仿宋"/>
          <w:szCs w:val="28"/>
          <w:lang w:eastAsia="zh-CN"/>
        </w:rPr>
      </w:pPr>
      <w:r>
        <w:rPr>
          <w:rFonts w:hint="eastAsia" w:eastAsia="仿宋"/>
          <w:sz w:val="28"/>
          <w:szCs w:val="28"/>
          <w:highlight w:val="none"/>
          <w:lang w:eastAsia="zh-CN"/>
        </w:rPr>
        <w:t>《</w:t>
      </w:r>
      <w:r>
        <w:rPr>
          <w:rFonts w:hint="eastAsia" w:eastAsia="仿宋"/>
          <w:sz w:val="28"/>
          <w:szCs w:val="28"/>
          <w:highlight w:val="none"/>
        </w:rPr>
        <w:t>关于成立上海吉远绿色能源有限公司合作协议</w:t>
      </w:r>
      <w:r>
        <w:rPr>
          <w:rFonts w:hint="eastAsia" w:eastAsia="仿宋"/>
          <w:sz w:val="28"/>
          <w:szCs w:val="28"/>
          <w:highlight w:val="none"/>
          <w:lang w:eastAsia="zh-CN"/>
        </w:rPr>
        <w:t>》</w:t>
      </w:r>
      <w:r>
        <w:rPr>
          <w:rFonts w:hint="eastAsia" w:ascii="Times New Roman" w:hAnsi="仿宋" w:eastAsia="仿宋" w:cs="仿宋"/>
          <w:szCs w:val="28"/>
          <w:lang w:eastAsia="zh-CN"/>
        </w:rPr>
        <w:t>。</w:t>
      </w:r>
    </w:p>
    <w:p>
      <w:pPr>
        <w:pStyle w:val="10"/>
        <w:keepNext w:val="0"/>
        <w:keepLines w:val="0"/>
        <w:pageBreakBefore w:val="0"/>
        <w:kinsoku/>
        <w:wordWrap/>
        <w:overflowPunct/>
        <w:topLinePunct w:val="0"/>
        <w:bidi w:val="0"/>
        <w:spacing w:line="580" w:lineRule="exact"/>
        <w:rPr>
          <w:rFonts w:hint="eastAsia"/>
          <w:lang w:eastAsia="zh-CN"/>
        </w:rPr>
      </w:pPr>
    </w:p>
    <w:p>
      <w:pPr>
        <w:keepNext w:val="0"/>
        <w:keepLines w:val="0"/>
        <w:pageBreakBefore w:val="0"/>
        <w:kinsoku/>
        <w:wordWrap/>
        <w:overflowPunct/>
        <w:topLinePunct w:val="0"/>
        <w:bidi w:val="0"/>
        <w:spacing w:line="580" w:lineRule="exact"/>
        <w:ind w:firstLine="640"/>
        <w:jc w:val="left"/>
        <w:rPr>
          <w:rFonts w:hint="eastAsia" w:ascii="Times New Roman" w:hAnsi="仿宋" w:eastAsia="仿宋"/>
          <w:szCs w:val="28"/>
        </w:rPr>
      </w:pPr>
      <w:r>
        <w:rPr>
          <w:rFonts w:ascii="Times New Roman" w:hAnsi="仿宋" w:eastAsia="仿宋"/>
          <w:szCs w:val="28"/>
        </w:rPr>
        <w:t>特此公告。</w:t>
      </w:r>
    </w:p>
    <w:p>
      <w:pPr>
        <w:keepNext w:val="0"/>
        <w:keepLines w:val="0"/>
        <w:pageBreakBefore w:val="0"/>
        <w:kinsoku/>
        <w:wordWrap/>
        <w:overflowPunct/>
        <w:topLinePunct w:val="0"/>
        <w:bidi w:val="0"/>
        <w:spacing w:line="580" w:lineRule="exact"/>
        <w:ind w:firstLine="640"/>
        <w:jc w:val="right"/>
        <w:rPr>
          <w:rFonts w:ascii="Times New Roman" w:hAnsi="仿宋" w:eastAsia="仿宋"/>
          <w:szCs w:val="28"/>
        </w:rPr>
      </w:pPr>
    </w:p>
    <w:p>
      <w:pPr>
        <w:keepNext w:val="0"/>
        <w:keepLines w:val="0"/>
        <w:pageBreakBefore w:val="0"/>
        <w:kinsoku/>
        <w:wordWrap/>
        <w:overflowPunct/>
        <w:topLinePunct w:val="0"/>
        <w:bidi w:val="0"/>
        <w:spacing w:line="580" w:lineRule="exact"/>
        <w:ind w:firstLine="640"/>
        <w:jc w:val="right"/>
        <w:rPr>
          <w:rFonts w:ascii="Times New Roman" w:hAnsi="仿宋" w:eastAsia="仿宋"/>
          <w:szCs w:val="28"/>
        </w:rPr>
      </w:pPr>
    </w:p>
    <w:p>
      <w:pPr>
        <w:keepNext w:val="0"/>
        <w:keepLines w:val="0"/>
        <w:pageBreakBefore w:val="0"/>
        <w:kinsoku/>
        <w:wordWrap/>
        <w:overflowPunct/>
        <w:topLinePunct w:val="0"/>
        <w:bidi w:val="0"/>
        <w:spacing w:line="580" w:lineRule="exact"/>
        <w:ind w:firstLine="640"/>
        <w:jc w:val="right"/>
        <w:rPr>
          <w:rFonts w:ascii="Times New Roman" w:eastAsia="仿宋"/>
          <w:szCs w:val="28"/>
        </w:rPr>
      </w:pPr>
      <w:r>
        <w:rPr>
          <w:rFonts w:ascii="Times New Roman" w:hAnsi="仿宋" w:eastAsia="仿宋"/>
          <w:szCs w:val="28"/>
        </w:rPr>
        <w:t>吉林电力股份有限公司董事会</w:t>
      </w:r>
    </w:p>
    <w:p>
      <w:pPr>
        <w:keepNext w:val="0"/>
        <w:keepLines w:val="0"/>
        <w:pageBreakBefore w:val="0"/>
        <w:kinsoku/>
        <w:wordWrap/>
        <w:overflowPunct/>
        <w:topLinePunct w:val="0"/>
        <w:bidi w:val="0"/>
        <w:spacing w:line="580" w:lineRule="exact"/>
        <w:ind w:right="280" w:firstLine="640"/>
        <w:jc w:val="right"/>
        <w:rPr>
          <w:rFonts w:hint="eastAsia" w:ascii="仿宋" w:hAnsi="仿宋" w:eastAsia="仿宋"/>
          <w:color w:val="auto"/>
          <w:szCs w:val="28"/>
          <w:highlight w:val="none"/>
        </w:rPr>
      </w:pPr>
      <w:r>
        <w:rPr>
          <w:rFonts w:hint="eastAsia" w:ascii="仿宋" w:hAnsi="仿宋" w:eastAsia="仿宋"/>
          <w:szCs w:val="28"/>
          <w:lang w:val="en-US" w:eastAsia="zh-CN"/>
        </w:rPr>
        <w:t xml:space="preserve"> </w:t>
      </w:r>
      <w:r>
        <w:rPr>
          <w:rFonts w:ascii="仿宋" w:hAnsi="仿宋" w:eastAsia="仿宋"/>
          <w:szCs w:val="28"/>
        </w:rPr>
        <w:t>二○二</w:t>
      </w:r>
      <w:r>
        <w:rPr>
          <w:rFonts w:hint="eastAsia" w:ascii="仿宋" w:hAnsi="仿宋" w:eastAsia="仿宋"/>
          <w:szCs w:val="28"/>
          <w:lang w:val="en-US" w:eastAsia="zh-CN"/>
        </w:rPr>
        <w:t>三</w:t>
      </w:r>
      <w:r>
        <w:rPr>
          <w:rFonts w:ascii="仿宋" w:hAnsi="仿宋" w:eastAsia="仿宋"/>
          <w:szCs w:val="28"/>
        </w:rPr>
        <w:t>年</w:t>
      </w:r>
      <w:r>
        <w:rPr>
          <w:rFonts w:hint="eastAsia" w:ascii="仿宋" w:hAnsi="仿宋" w:eastAsia="仿宋"/>
          <w:szCs w:val="28"/>
          <w:lang w:val="en-US" w:eastAsia="zh-CN"/>
        </w:rPr>
        <w:t>十二</w:t>
      </w:r>
      <w:r>
        <w:rPr>
          <w:rFonts w:ascii="仿宋" w:hAnsi="仿宋" w:eastAsia="仿宋"/>
          <w:szCs w:val="28"/>
        </w:rPr>
        <w:t>月</w:t>
      </w:r>
      <w:r>
        <w:rPr>
          <w:rFonts w:hint="eastAsia" w:ascii="仿宋" w:hAnsi="仿宋" w:eastAsia="仿宋"/>
          <w:szCs w:val="28"/>
          <w:lang w:val="en-US" w:eastAsia="zh-CN"/>
        </w:rPr>
        <w:t>二十九</w:t>
      </w:r>
      <w:r>
        <w:rPr>
          <w:rFonts w:ascii="仿宋" w:hAnsi="仿宋" w:eastAsia="仿宋"/>
          <w:szCs w:val="28"/>
        </w:rPr>
        <w:t>日</w:t>
      </w:r>
      <w:bookmarkStart w:id="0" w:name="_GoBack"/>
      <w:bookmarkEnd w:id="0"/>
    </w:p>
    <w:p/>
    <w:sectPr>
      <w:headerReference r:id="rId3" w:type="default"/>
      <w:footerReference r:id="rId4" w:type="default"/>
      <w:footerReference r:id="rId5" w:type="even"/>
      <w:pgSz w:w="11906" w:h="16838"/>
      <w:pgMar w:top="1440" w:right="164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4FCB00F6"/>
    <w:rsid w:val="08A705FC"/>
    <w:rsid w:val="098F7715"/>
    <w:rsid w:val="0A0520C4"/>
    <w:rsid w:val="20E60986"/>
    <w:rsid w:val="24BD3555"/>
    <w:rsid w:val="28E30E68"/>
    <w:rsid w:val="2CC9382B"/>
    <w:rsid w:val="40D92D64"/>
    <w:rsid w:val="4FCB00F6"/>
    <w:rsid w:val="65E66E7A"/>
    <w:rsid w:val="68B72145"/>
    <w:rsid w:val="6B7B3CF2"/>
    <w:rsid w:val="6E0F203A"/>
    <w:rsid w:val="6E294149"/>
    <w:rsid w:val="6F101802"/>
    <w:rsid w:val="6FD12D81"/>
    <w:rsid w:val="71C57BB8"/>
    <w:rsid w:val="7A53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color w:val="000000"/>
      <w:sz w:val="28"/>
      <w:szCs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仿宋" w:hAnsi="仿宋" w:eastAsia="仿宋" w:cs="仿宋"/>
      <w:sz w:val="28"/>
      <w:szCs w:val="28"/>
      <w:lang w:val="zh-CN" w:eastAsia="zh-CN" w:bidi="zh-CN"/>
    </w:rPr>
  </w:style>
  <w:style w:type="paragraph" w:styleId="3">
    <w:name w:val="Body Text Indent"/>
    <w:basedOn w:val="1"/>
    <w:next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qFormat/>
    <w:uiPriority w:val="0"/>
    <w:pPr>
      <w:ind w:firstLine="420" w:firstLineChars="200"/>
    </w:pPr>
  </w:style>
  <w:style w:type="character" w:styleId="9">
    <w:name w:val="page number"/>
    <w:basedOn w:val="8"/>
    <w:autoRedefine/>
    <w:qFormat/>
    <w:uiPriority w:val="0"/>
  </w:style>
  <w:style w:type="paragraph" w:customStyle="1" w:styleId="10">
    <w:name w:val="BodyText1I2"/>
    <w:basedOn w:val="11"/>
    <w:autoRedefine/>
    <w:qFormat/>
    <w:uiPriority w:val="0"/>
    <w:pPr>
      <w:widowControl/>
      <w:ind w:firstLine="420" w:firstLineChars="200"/>
      <w:jc w:val="both"/>
      <w:textAlignment w:val="baseline"/>
    </w:pPr>
  </w:style>
  <w:style w:type="paragraph" w:customStyle="1" w:styleId="11">
    <w:name w:val="BodyTextIndent"/>
    <w:basedOn w:val="1"/>
    <w:next w:val="1"/>
    <w:autoRedefine/>
    <w:qFormat/>
    <w:uiPriority w:val="0"/>
    <w:pPr>
      <w:widowControl/>
      <w:ind w:firstLine="720" w:firstLineChars="240"/>
      <w:jc w:val="both"/>
      <w:textAlignment w:val="baseline"/>
    </w:pPr>
    <w:rPr>
      <w:rFonts w:ascii="Times New Roman" w:hAnsi="Times New Roman" w:eastAsia="宋体"/>
      <w:kern w:val="2"/>
      <w:sz w:val="30"/>
      <w:szCs w:val="24"/>
      <w:lang w:val="en-US" w:eastAsia="zh-CN" w:bidi="ar-SA"/>
    </w:rPr>
  </w:style>
  <w:style w:type="paragraph" w:customStyle="1" w:styleId="12">
    <w:name w:val="_Style 9"/>
    <w:basedOn w:val="1"/>
    <w:autoRedefine/>
    <w:qFormat/>
    <w:uiPriority w:val="0"/>
    <w:rPr>
      <w:rFonts w:ascii="Tahoma" w:hAnsi="Tahoma" w:eastAsia="Times New Roman"/>
      <w:color w:val="auto"/>
      <w:sz w:val="24"/>
      <w:szCs w:val="20"/>
    </w:rPr>
  </w:style>
  <w:style w:type="paragraph" w:customStyle="1" w:styleId="1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Table Paragraph"/>
    <w:basedOn w:val="1"/>
    <w:autoRedefine/>
    <w:qFormat/>
    <w:uiPriority w:val="0"/>
    <w:pPr>
      <w:spacing w:before="139"/>
      <w:ind w:left="14"/>
      <w:jc w:val="center"/>
    </w:pPr>
    <w:rPr>
      <w:rFonts w:ascii="宋体" w:hAnsi="宋体" w:cs="宋体"/>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2023-12-29T06:07:00Z</dcterms:created>
  <dc:creator>WPS_1591103659</dc:creator>
  <cp:lastModifiedBy>WPS_1591103659</cp:lastModifiedBy>
  <dcterms:modified xsi:type="dcterms:W3CDTF">2023-12-29T08:31:03Z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74C2140629884FB1BB9101A876CD8292_11</vt:lpwstr>
  </property>
</Properties>
</file>