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1000" w:line="560" w:lineRule="exact"/>
        <w:jc w:val="center"/>
        <w:rPr>
          <w:rFonts w:ascii="宋体" w:hAnsi="宋体" w:eastAsia="宋体" w:cs="宋体"/>
          <w:b/>
          <w:bCs/>
          <w:sz w:val="18"/>
          <w:szCs w:val="18"/>
        </w:rPr>
      </w:pPr>
      <w:r>
        <w:rPr>
          <w:rFonts w:ascii="宋体" w:hAnsi="宋体" w:eastAsia="宋体" w:cs="宋体"/>
          <w:b/>
          <w:bCs/>
          <w:sz w:val="18"/>
          <w:szCs w:val="18"/>
        </w:rPr>
        <w:t>证券代码：000875                证券简称：吉电股份                公告编号：2024—032</w:t>
      </w:r>
    </w:p>
    <w:p>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吉林电力股份有限公司2023年年度报告摘要</w:t>
      </w:r>
    </w:p>
    <w:p>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本年度报告摘要来自年度报告全文，为全面了解本公司的经营成果、财务状况及未来发展规划，投资者应当到证监会指定媒体仔细阅读年度报告全文。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除下列董事外，其他董事亲自出席了审议本次年报的董事会会议</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被委托人姓名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才延福</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董事长</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牛国君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梁宏</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董事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明旭东</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非标准审计意见提示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董事会审议的报告期利润分配预案或公积金转增股本预案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公司计划不派发现金红利，不送红股，不以公积金转增股本。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701"/>
        <w:gridCol w:w="2979"/>
        <w:gridCol w:w="1480"/>
        <w:gridCol w:w="1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148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14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593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37"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297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296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29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29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c>
          <w:tcPr>
            <w:tcW w:w="29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29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70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29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296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gaoxue@spic.com.cn</w:t>
            </w:r>
          </w:p>
        </w:tc>
      </w:tr>
    </w:tbl>
    <w:p>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2、报告期主要业务或产品简介</w:t>
      </w:r>
      <w:bookmarkEnd w:id="3"/>
    </w:p>
    <w:p>
      <w:pPr>
        <w:pStyle w:val="2"/>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公司以新能源、综合智慧能源、氢能、先进储能及火电、供热、生物质能、电站服务为主营业务。报告期末，公司发电总装机容量1342.12万千瓦，其中：清洁能源装机1012.12万千瓦，占总装机比重75.41%，发展项目已遍及30个省市自治区，形成东北、西北、华东、华中、华北5个区域新能源基地；煤电装机330万千瓦，占比24.59%，发电及热力业务遍及长春、吉林、四平、白城，均为所在城市主要热源；综合智慧能源、氢能、储能业务快速拓展，大安一期合成氨项目开创国内氢基绿色能源新业态，带动上下游产业链协同推进。凭借近年来的良好业绩，公司连续5年蝉联全球新能源五百强，2023年名列第222位，较2022年提升27名。</w:t>
      </w:r>
    </w:p>
    <w:p>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3、主要会计数据和财务指标</w:t>
      </w:r>
      <w:bookmarkEnd w:id="4"/>
    </w:p>
    <w:p>
      <w:pPr>
        <w:keepNext/>
        <w:keepLines/>
        <w:spacing w:before="300" w:after="300" w:line="280" w:lineRule="exact"/>
        <w:jc w:val="left"/>
        <w:outlineLvl w:val="3"/>
        <w:rPr>
          <w:rFonts w:ascii="宋体" w:hAnsi="宋体" w:eastAsia="宋体" w:cs="宋体"/>
          <w:b/>
          <w:bCs/>
          <w:sz w:val="18"/>
          <w:szCs w:val="18"/>
        </w:rPr>
      </w:pPr>
      <w:bookmarkStart w:id="5" w:name="_Toc988894"/>
      <w:r>
        <w:rPr>
          <w:rFonts w:ascii="宋体" w:hAnsi="宋体" w:eastAsia="宋体" w:cs="宋体"/>
          <w:b/>
          <w:bCs/>
          <w:sz w:val="18"/>
          <w:szCs w:val="18"/>
        </w:rPr>
        <w:t>（1） 近三年主要会计数据和财务指标</w:t>
      </w:r>
      <w:bookmarkEnd w:id="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追溯调整或重述原因</w:t>
      </w:r>
    </w:p>
    <w:p>
      <w:pPr>
        <w:spacing w:before="0" w:after="0" w:line="240" w:lineRule="exact"/>
        <w:jc w:val="left"/>
        <w:rPr>
          <w:rFonts w:ascii="宋体" w:hAnsi="宋体" w:eastAsia="宋体" w:cs="宋体"/>
          <w:sz w:val="18"/>
          <w:szCs w:val="18"/>
        </w:rPr>
      </w:pPr>
      <w:r>
        <w:rPr>
          <w:rFonts w:ascii="宋体" w:hAnsi="宋体" w:eastAsia="宋体" w:cs="宋体"/>
          <w:sz w:val="18"/>
          <w:szCs w:val="18"/>
        </w:rPr>
        <w:t>会计政策变更</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2022年末</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本年末比上年末增减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71,519,003,610.53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66,751,956,212.30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66,934,577,542.67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10,456,350,031.92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10,459,060,968.53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本年比上年增减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13,177,555,792.25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13,253,804,161.79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908,417,734.74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671,714,968.55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450,378,911.90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502,754,811.76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883,156,512.52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686,152,251.80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689,054,318.97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360,527,498.14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412,903,398.00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5,445,203,480.10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3,437,161,888.76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3,437,161,888.76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会计政策变更的原因及会计差错更正的情况</w:t>
      </w:r>
    </w:p>
    <w:p>
      <w:pPr>
        <w:pStyle w:val="2"/>
        <w:keepNext w:val="0"/>
        <w:keepLines w:val="0"/>
        <w:widowControl/>
        <w:suppressLineNumbers w:val="0"/>
        <w:spacing w:line="560" w:lineRule="atLeast"/>
        <w:ind w:left="0" w:firstLine="357"/>
        <w:rPr>
          <w:rFonts w:hint="eastAsia" w:ascii="宋体" w:hAnsi="宋体" w:eastAsia="宋体" w:cs="宋体"/>
          <w:sz w:val="18"/>
          <w:szCs w:val="18"/>
        </w:rPr>
      </w:pPr>
      <w:r>
        <w:rPr>
          <w:rFonts w:hint="eastAsia" w:ascii="宋体" w:hAnsi="宋体" w:eastAsia="宋体" w:cs="宋体"/>
          <w:sz w:val="18"/>
          <w:szCs w:val="18"/>
        </w:rPr>
        <w:t>财政部于2022年11月30日发布了《企业会计准则解释第16号》（以下简称“解释16号”）。解释16号对企业单项交易产生的资产和负债相关的递延所得税初始确认的相关会计政策进行变更，本公司自2023年1月1日起施行。根据解释16号的规定，企业将单项交易产生的资产和负债相关的递延所得税不适用初始确认豁免的，应当按照《企业会计准则第18号——所得税》规定，对该交易因资产和负债的初始确认所产生的应纳税暂时性差异和可抵扣暂时性差异，在交易发生时分别确认相应的递延所得税负债和递延所得税资产。按照解释16号的规定，公司对2022年度及2021年度的财务报表进行了追溯调整（详见本报告第十节“财务报告第五项：第43条，重要会计政策和会计估计变更”）。</w:t>
      </w:r>
    </w:p>
    <w:p>
      <w:pPr>
        <w:keepNext/>
        <w:keepLines/>
        <w:spacing w:before="300" w:after="300" w:line="280" w:lineRule="exact"/>
        <w:jc w:val="left"/>
        <w:outlineLvl w:val="3"/>
        <w:rPr>
          <w:rFonts w:ascii="宋体" w:hAnsi="宋体" w:eastAsia="宋体" w:cs="宋体"/>
          <w:b/>
          <w:bCs/>
          <w:sz w:val="18"/>
          <w:szCs w:val="18"/>
        </w:rPr>
      </w:pPr>
      <w:bookmarkStart w:id="6" w:name="_Toc988895"/>
      <w:r>
        <w:rPr>
          <w:rFonts w:ascii="宋体" w:hAnsi="宋体" w:eastAsia="宋体" w:cs="宋体"/>
          <w:b/>
          <w:bCs/>
          <w:sz w:val="18"/>
          <w:szCs w:val="18"/>
        </w:rPr>
        <w:t>（2） 分季度主要会计数据</w:t>
      </w:r>
      <w:bookmarkEnd w:id="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第四季度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4,024,463,565.67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3,609,977,653.12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3,387,455,145.45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3,420,703,363.16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503,150,056.85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393,839,564.14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188,678,102.94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-177,249,989.19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487,644,397.74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379,382,168.37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182,522,151.23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-166,392,204.82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700,691,432.10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1,341,148,937.95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1,337,596,339.47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2,065,766,770.58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上述财务指标或其加总数是否与公司已披露季度报告、半年度报告相关财务指标存在重大差异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4、股本及股东情况</w:t>
      </w:r>
      <w:bookmarkEnd w:id="7"/>
    </w:p>
    <w:p>
      <w:pPr>
        <w:keepNext/>
        <w:keepLines/>
        <w:spacing w:before="300" w:after="300" w:line="280" w:lineRule="exact"/>
        <w:jc w:val="left"/>
        <w:outlineLvl w:val="3"/>
        <w:rPr>
          <w:rFonts w:ascii="宋体" w:hAnsi="宋体" w:eastAsia="宋体" w:cs="宋体"/>
          <w:b/>
          <w:bCs/>
          <w:sz w:val="18"/>
          <w:szCs w:val="18"/>
        </w:rPr>
      </w:pPr>
      <w:bookmarkStart w:id="8" w:name="_Toc988897"/>
      <w:r>
        <w:rPr>
          <w:rFonts w:ascii="宋体" w:hAnsi="宋体" w:eastAsia="宋体" w:cs="宋体"/>
          <w:b/>
          <w:bCs/>
          <w:sz w:val="18"/>
          <w:szCs w:val="18"/>
        </w:rPr>
        <w:t>（1） 普通股股东和表决权恢复的优先股股东数量及前10名股东持股情况表</w:t>
      </w:r>
      <w:bookmarkEnd w:id="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168,025</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年度报告披露日前一个月末普通股股东总数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166,912</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年度报告披露日前一个月末表决权恢复的优先股股东总数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18,922,940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8,431,000</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国家电投、吉林能投、财务公司、成套公司之间存在关联关系，属于《上市公司收购管理办法》规定的一致行动人</w:t>
            </w:r>
            <w:r>
              <w:rPr>
                <w:rFonts w:hint="eastAsia" w:ascii="宋体" w:hAnsi="宋体" w:cs="宋体"/>
                <w:sz w:val="18"/>
                <w:szCs w:val="18"/>
                <w:lang w:eastAsia="zh-CN"/>
              </w:rPr>
              <w:t>；</w:t>
            </w:r>
            <w:r>
              <w:rPr>
                <w:rFonts w:ascii="宋体" w:hAnsi="宋体" w:eastAsia="宋体" w:cs="宋体"/>
                <w:sz w:val="18"/>
                <w:szCs w:val="18"/>
              </w:rPr>
              <w:t>2.除此之外，未知其他股东之间是否存在关联关系，也未知是否属于《上市公司收购管理办法》规定的一致行动人。</w:t>
            </w:r>
            <w:bookmarkStart w:id="13" w:name="_GoBack"/>
            <w:bookmarkEnd w:id="13"/>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参与融资融券业务股东情况说明（如有）</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郑捷文通过信用帐户持有本公司股份10,471,475股。2.前10名无限售流通股东林文新通过信用帐户持有本公司股份2,462,574股，通过普通证券帐户持有公司股份5,968,426股，合计持有本公司股份8,431,000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前十名股东参与转融通业务出借股份情况</w:t>
      </w:r>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前十名股东参与转融通出借股份情况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股东名称（全称）</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期初转融通出借股份且尚未归还</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期末转融通出借股份且尚未归还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15,007,051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19,088,154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3,366,900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前十名股东较上期发生变化</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9" w:name="_Toc988898"/>
      <w:r>
        <w:rPr>
          <w:rFonts w:ascii="宋体" w:hAnsi="宋体" w:eastAsia="宋体" w:cs="宋体"/>
          <w:b/>
          <w:bCs/>
          <w:sz w:val="18"/>
          <w:szCs w:val="18"/>
        </w:rPr>
        <w:t>（2） 公司优先股股东总数及前10名优先股股东持股情况表</w:t>
      </w:r>
      <w:bookmarkEnd w:id="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pPr>
        <w:keepNext/>
        <w:keepLines/>
        <w:spacing w:before="300" w:after="300" w:line="280" w:lineRule="exact"/>
        <w:jc w:val="left"/>
        <w:outlineLvl w:val="3"/>
        <w:rPr>
          <w:rFonts w:ascii="宋体" w:hAnsi="宋体" w:eastAsia="宋体" w:cs="宋体"/>
          <w:b/>
          <w:bCs/>
          <w:sz w:val="18"/>
          <w:szCs w:val="18"/>
        </w:rPr>
      </w:pPr>
      <w:bookmarkStart w:id="10" w:name="_Toc988899"/>
      <w:r>
        <w:rPr>
          <w:rFonts w:ascii="宋体" w:hAnsi="宋体" w:eastAsia="宋体" w:cs="宋体"/>
          <w:b/>
          <w:bCs/>
          <w:sz w:val="18"/>
          <w:szCs w:val="18"/>
        </w:rPr>
        <w:t>（3） 以方框图形式披露公司与实际控制人之间的产权及控制关系</w:t>
      </w:r>
      <w:bookmarkEnd w:id="10"/>
    </w:p>
    <w:p>
      <w:pPr>
        <w:spacing w:before="40" w:after="40" w:line="0" w:lineRule="exact"/>
        <w:rPr>
          <w:rFonts w:ascii="Times New Roman" w:hAnsi="Times New Roman" w:eastAsia="宋体" w:cs="Times New Roman"/>
        </w:rPr>
      </w:pPr>
      <w:r>
        <w:rPr>
          <w:rFonts w:ascii="Times New Roman" w:hAnsi="Times New Roman" w:eastAsia="宋体" w:cs="Times New Roman"/>
        </w:rPr>
        <w:drawing>
          <wp:inline distT="0" distB="0" distL="0" distR="0">
            <wp:extent cx="5695950"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5695950" cy="3114675"/>
                    </a:xfrm>
                    <a:prstGeom prst="rect">
                      <a:avLst/>
                    </a:prstGeom>
                  </pic:spPr>
                </pic:pic>
              </a:graphicData>
            </a:graphic>
          </wp:inline>
        </w:drawing>
      </w:r>
    </w:p>
    <w:p>
      <w:pPr>
        <w:keepNext/>
        <w:keepLines/>
        <w:spacing w:before="300" w:after="300" w:line="280" w:lineRule="exact"/>
        <w:jc w:val="left"/>
        <w:outlineLvl w:val="2"/>
        <w:rPr>
          <w:rFonts w:ascii="宋体" w:hAnsi="宋体" w:eastAsia="宋体" w:cs="宋体"/>
          <w:b/>
          <w:bCs/>
          <w:sz w:val="21"/>
          <w:szCs w:val="21"/>
        </w:rPr>
      </w:pPr>
      <w:bookmarkStart w:id="11" w:name="_Toc988900"/>
      <w:r>
        <w:rPr>
          <w:rFonts w:ascii="宋体" w:hAnsi="宋体" w:eastAsia="宋体" w:cs="宋体"/>
          <w:b/>
          <w:bCs/>
          <w:sz w:val="21"/>
          <w:szCs w:val="21"/>
        </w:rPr>
        <w:t>5、在年度报告批准报出日存续的债券情况</w:t>
      </w:r>
      <w:bookmarkEnd w:id="1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2" w:name="_Toc988901"/>
      <w:r>
        <w:rPr>
          <w:rFonts w:ascii="宋体" w:hAnsi="宋体" w:eastAsia="宋体" w:cs="宋体"/>
          <w:b/>
          <w:bCs/>
          <w:sz w:val="24"/>
          <w:szCs w:val="24"/>
        </w:rPr>
        <w:t>三、重要事项</w:t>
      </w:r>
      <w:bookmarkEnd w:id="12"/>
    </w:p>
    <w:p>
      <w:pPr>
        <w:pStyle w:val="2"/>
        <w:keepNext w:val="0"/>
        <w:keepLines w:val="0"/>
        <w:widowControl/>
        <w:suppressLineNumbers w:val="0"/>
      </w:pPr>
      <w:r>
        <w:rPr>
          <w:rFonts w:hint="eastAsia" w:ascii="宋体" w:hAnsi="宋体" w:eastAsia="宋体" w:cs="宋体"/>
          <w:sz w:val="18"/>
          <w:szCs w:val="18"/>
        </w:rPr>
        <w:t>无</w:t>
      </w:r>
    </w:p>
    <w:sectPr>
      <w:headerReference r:id="rId3" w:type="default"/>
      <w:footerReference r:id="rId4" w:type="default"/>
      <w:pgSz w:w="11905" w:h="16840"/>
      <w:pgMar w:top="850" w:right="1134" w:bottom="85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rPr>
      <w:t>1</w:t>
    </w:r>
    <w:r>
      <w:rPr>
        <w:rFonts w:ascii="仿宋" w:eastAsia="仿宋"/>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吉林电力股份有限公司2023年年度报告摘要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compat>
    <w:doNotExpandShiftReturn/>
    <w:useFELayout/>
    <w:compatSetting w:name="compatibilityMode" w:uri="http://schemas.microsoft.com/office/word" w:val="14"/>
  </w:compat>
  <w:rsids>
    <w:rsidRoot w:val="00000000"/>
    <w:rsid w:val="24566F92"/>
    <w:rsid w:val="4FB95813"/>
    <w:rsid w:val="58BE1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2024-04-28T08:34:00Z</dcterms:created>
  <dc:creator>huawei</dc:creator>
  <cp:lastModifiedBy>zhanghong</cp:lastModifiedBy>
  <dcterms:modified xsi:type="dcterms:W3CDTF">2024-04-29T06:37:03Z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