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olor w:val="FF0000"/>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hint="eastAsia" w:ascii="Times New Roman" w:hAnsi="Times New Roman"/>
        </w:rPr>
        <w:t>202</w:t>
      </w:r>
      <w:r>
        <w:rPr>
          <w:rFonts w:hint="eastAsia"/>
          <w:lang w:val="en-US" w:eastAsia="zh-CN"/>
        </w:rPr>
        <w:t>4</w:t>
      </w:r>
      <w:r>
        <w:rPr>
          <w:rFonts w:hint="eastAsia" w:ascii="Times New Roman" w:hAnsi="Times New Roman"/>
        </w:rPr>
        <w:t>-0</w:t>
      </w:r>
      <w:r>
        <w:rPr>
          <w:rFonts w:hint="eastAsia"/>
          <w:lang w:val="en-US" w:eastAsia="zh-CN"/>
        </w:rPr>
        <w:t>05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22225</wp:posOffset>
                </wp:positionV>
                <wp:extent cx="5417820" cy="22860"/>
                <wp:effectExtent l="0" t="28575" r="7620" b="40005"/>
                <wp:wrapNone/>
                <wp:docPr id="1" name="直线 4"/>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8.55pt;margin-top:1.75pt;height:1.8pt;width:426.6pt;z-index:251659264;mso-width-relative:page;mso-height-relative:page;" filled="f" stroked="t" coordsize="21600,21600" o:gfxdata="UEsDBAoAAAAAAIdO4kAAAAAAAAAAAAAAAAAEAAAAZHJzL1BLAwQUAAAACACHTuJAMDwJhNMAAAAH&#10;AQAADwAAAGRycy9kb3ducmV2LnhtbE2OvU7DMBSFdyTewbpIbK3tVJQqxOmAxMCCICCxurGbRLWv&#10;rdhJ07fnMrXj+dE5X7VfvGOzHdMQUIFcC2AW22AG7BT8fL+tdsBS1mi0C2gVXGyCfX1/V+nShDN+&#10;2bnJHaMRTKVW0OccS85T21uv0zpEi5Qdw+h1Jjl23Iz6TOPe8UKILfd6QHrodbSvvW1PzeQVNIuI&#10;kbuPk5/kbxHf50vxeWyUenyQ4gVYtku+luEfn9ChJqZDmNAk5hSs5LOkqoLNEzDKd5st6YMCsnld&#10;8Vv++g9QSwMEFAAAAAgAh07iQK+t7N/4AQAA8AMAAA4AAABkcnMvZTJvRG9jLnhtbK1TS44TMRDd&#10;I3EHy3vSndZMJmqlM4sJYYMgEgN7x5+0hX9yOenkLFyDFRuOM9eg7M4EGDZZsLHKVeVX9V6VF/dH&#10;a8hBRtDedXQ6qSmRjnuh3a6jnx/Xb+aUQGJOMOOd7OhJAr1fvn61GEIrG997I2QkCOKgHUJH+5RC&#10;W1XAe2kZTHyQDoPKR8sSXuOuEpENiG5N1dT1rBp8FCF6LgHQuxqD9IwYrwH0SmkuV57vrXRpRI3S&#10;sISUoNcB6LJ0q5Tk6aNSIBMxHUWmqZxYBO1tPqvlgrW7yEKv+bkFdk0LLzhZph0WvUCtWGJkH/U/&#10;UFbz6MGrNOHeViORogiymNYvtPnUsyALF5QawkV0+H+w/MNhE4kWuAmUOGZx4E/fvj/9+ElusjZD&#10;gBZTHtwmnm8QNjETPapoiTI6fMlPswfJkGNR9nRRVh4T4ei8vZnezRsUnWOsaeazonw1wuTHIUJ6&#10;J70l2eio0S4TZy07vIeEpTH1OSW7jSMDot5NbzMmwzVUOH40bUAqqdfuEQf6tUCAN1qstTH5IcTd&#10;9sFEcmC4EOv1bFY/d/JXWq61YtCPeSU0rkovmXjrBEmngFI5/CE0d2KloMRI/FDZKkuVmDbXZCIz&#10;45BglnoUN1tbL044mH2IetejINMMWnJwEYoc56XNm/bnvWT9/qj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A8CYTTAAAABwEAAA8AAAAAAAAAAQAgAAAAIgAAAGRycy9kb3ducmV2LnhtbFBLAQIU&#10;ABQAAAAIAIdO4kCvrezf+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cs="宋体"/>
          <w:b/>
          <w:sz w:val="44"/>
          <w:szCs w:val="44"/>
        </w:rPr>
      </w:pPr>
      <w:r>
        <w:rPr>
          <w:rFonts w:hint="eastAsia" w:ascii="Times New Roman" w:hAnsi="Times New Roman" w:cs="宋体"/>
          <w:b/>
          <w:sz w:val="44"/>
          <w:szCs w:val="44"/>
        </w:rPr>
        <w:t>吉林电力股份有限公司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 w:val="44"/>
          <w:szCs w:val="44"/>
        </w:rPr>
      </w:pPr>
      <w:r>
        <w:rPr>
          <w:rFonts w:hint="eastAsia" w:ascii="Times New Roman" w:hAnsi="Times New Roman" w:cs="宋体"/>
          <w:b/>
          <w:sz w:val="44"/>
          <w:szCs w:val="44"/>
          <w:lang w:val="en-US" w:eastAsia="zh-CN"/>
        </w:rPr>
        <w:t>关于</w:t>
      </w:r>
      <w:r>
        <w:rPr>
          <w:rFonts w:hint="eastAsia" w:ascii="宋体" w:hAnsi="宋体" w:eastAsia="宋体" w:cs="宋体"/>
          <w:b/>
          <w:bCs/>
          <w:color w:val="000000"/>
          <w:sz w:val="44"/>
          <w:szCs w:val="44"/>
        </w:rPr>
        <w:t>提名</w:t>
      </w:r>
      <w:r>
        <w:rPr>
          <w:rFonts w:hint="eastAsia" w:ascii="宋体" w:hAnsi="宋体" w:eastAsia="宋体" w:cs="宋体"/>
          <w:b/>
          <w:bCs/>
          <w:color w:val="000000"/>
          <w:sz w:val="44"/>
          <w:szCs w:val="44"/>
          <w:lang w:val="en-US" w:eastAsia="zh-CN"/>
        </w:rPr>
        <w:t>金华先生为</w:t>
      </w:r>
      <w:r>
        <w:rPr>
          <w:rFonts w:hint="eastAsia" w:ascii="宋体" w:hAnsi="宋体" w:eastAsia="宋体" w:cs="宋体"/>
          <w:b/>
          <w:bCs/>
          <w:color w:val="000000"/>
          <w:sz w:val="44"/>
          <w:szCs w:val="44"/>
        </w:rPr>
        <w:t>第</w:t>
      </w:r>
      <w:r>
        <w:rPr>
          <w:rFonts w:hint="eastAsia" w:ascii="宋体" w:hAnsi="宋体" w:eastAsia="宋体" w:cs="宋体"/>
          <w:b/>
          <w:bCs/>
          <w:color w:val="000000"/>
          <w:sz w:val="44"/>
          <w:szCs w:val="44"/>
          <w:lang w:val="en-US" w:eastAsia="zh-CN"/>
        </w:rPr>
        <w:t>九</w:t>
      </w:r>
      <w:r>
        <w:rPr>
          <w:rFonts w:hint="eastAsia" w:ascii="宋体" w:hAnsi="宋体" w:eastAsia="宋体" w:cs="宋体"/>
          <w:b/>
          <w:bCs/>
          <w:color w:val="000000"/>
          <w:sz w:val="44"/>
          <w:szCs w:val="44"/>
        </w:rPr>
        <w:t>届董事会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cs="宋体"/>
          <w:b/>
          <w:sz w:val="44"/>
          <w:szCs w:val="44"/>
        </w:rPr>
      </w:pPr>
      <w:r>
        <w:rPr>
          <w:rFonts w:hint="eastAsia" w:ascii="宋体" w:hAnsi="宋体" w:eastAsia="宋体" w:cs="宋体"/>
          <w:b/>
          <w:bCs/>
          <w:color w:val="000000"/>
          <w:sz w:val="44"/>
          <w:szCs w:val="44"/>
        </w:rPr>
        <w:t>独立董事候选人</w:t>
      </w:r>
      <w:r>
        <w:rPr>
          <w:rFonts w:hint="eastAsia" w:ascii="Times New Roman" w:hAnsi="Times New Roman" w:cs="宋体"/>
          <w:b/>
          <w:sz w:val="44"/>
          <w:szCs w:val="44"/>
          <w:lang w:val="en-US" w:eastAsia="zh-CN"/>
        </w:rPr>
        <w:t>的公告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本公司及</w:t>
      </w:r>
      <w:r>
        <w:rPr>
          <w:rFonts w:hint="eastAsia" w:eastAsia="仿宋"/>
          <w:b/>
          <w:sz w:val="28"/>
          <w:szCs w:val="28"/>
          <w:lang w:val="en-US" w:eastAsia="zh-CN"/>
        </w:rPr>
        <w:t>董</w:t>
      </w:r>
      <w:r>
        <w:rPr>
          <w:rFonts w:ascii="Times New Roman" w:hAnsi="Times New Roman" w:eastAsia="仿宋"/>
          <w:b/>
          <w:sz w:val="28"/>
          <w:szCs w:val="28"/>
        </w:rPr>
        <w:t>事会全体成员保证</w:t>
      </w:r>
      <w:r>
        <w:rPr>
          <w:rFonts w:hint="eastAsia" w:ascii="Times New Roman" w:hAnsi="Times New Roman" w:eastAsia="仿宋"/>
          <w:b/>
          <w:sz w:val="28"/>
          <w:szCs w:val="28"/>
        </w:rPr>
        <w:t>信息披露</w:t>
      </w:r>
      <w:r>
        <w:rPr>
          <w:rFonts w:ascii="Times New Roman" w:hAnsi="Times New Roman" w:eastAsia="仿宋"/>
          <w:b/>
          <w:sz w:val="28"/>
          <w:szCs w:val="28"/>
        </w:rPr>
        <w:t>内容的真实、准确</w:t>
      </w:r>
      <w:r>
        <w:rPr>
          <w:rFonts w:hint="eastAsia" w:ascii="Times New Roman" w:hAnsi="Times New Roman" w:eastAsia="仿宋"/>
          <w:b/>
          <w:sz w:val="28"/>
          <w:szCs w:val="28"/>
        </w:rPr>
        <w:t>和</w:t>
      </w:r>
      <w:r>
        <w:rPr>
          <w:rFonts w:ascii="Times New Roman" w:hAnsi="Times New Roman" w:eastAsia="仿宋"/>
          <w:b/>
          <w:sz w:val="28"/>
          <w:szCs w:val="28"/>
        </w:rPr>
        <w:t>完整，没有虚假记载、误导性陈述或重大遗漏。</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560" w:firstLineChars="200"/>
        <w:jc w:val="both"/>
        <w:rPr>
          <w:rFonts w:hint="default" w:ascii="Times New Roman" w:hAnsi="Times New Roman" w:eastAsia="仿宋" w:cs="Times New Roman"/>
          <w:sz w:val="28"/>
          <w:szCs w:val="28"/>
          <w:lang w:val="en-US" w:eastAsia="zh-CN"/>
        </w:rPr>
      </w:pPr>
      <w:r>
        <w:rPr>
          <w:rFonts w:ascii="Times New Roman" w:hAnsi="Times New Roman" w:eastAsia="仿宋"/>
          <w:sz w:val="28"/>
          <w:szCs w:val="28"/>
        </w:rPr>
        <w:t>吉林电力股份有限公司</w:t>
      </w:r>
      <w:r>
        <w:rPr>
          <w:rFonts w:hint="eastAsia" w:ascii="Times New Roman" w:hAnsi="Times New Roman" w:eastAsia="仿宋" w:cs="Times New Roman"/>
          <w:sz w:val="28"/>
          <w:szCs w:val="28"/>
          <w:lang w:val="en-US" w:eastAsia="zh-CN"/>
        </w:rPr>
        <w:t>（以下简称“公司”）独立董事</w:t>
      </w:r>
      <w:r>
        <w:rPr>
          <w:rFonts w:hint="eastAsia" w:eastAsia="仿宋" w:cs="Times New Roman"/>
          <w:sz w:val="28"/>
          <w:szCs w:val="28"/>
          <w:lang w:val="en-US" w:eastAsia="zh-CN"/>
        </w:rPr>
        <w:t>王义军先</w:t>
      </w:r>
      <w:r>
        <w:rPr>
          <w:rFonts w:hint="eastAsia" w:ascii="Times New Roman" w:hAnsi="Times New Roman" w:eastAsia="仿宋" w:cs="Times New Roman"/>
          <w:sz w:val="28"/>
          <w:szCs w:val="28"/>
          <w:lang w:val="en-US" w:eastAsia="zh-CN"/>
        </w:rPr>
        <w:t>生于2024年1月9日向公司董事会</w:t>
      </w:r>
      <w:r>
        <w:rPr>
          <w:rFonts w:hint="eastAsia" w:eastAsia="仿宋" w:cs="Times New Roman"/>
          <w:sz w:val="28"/>
          <w:szCs w:val="28"/>
          <w:lang w:val="en-US" w:eastAsia="zh-CN"/>
        </w:rPr>
        <w:t>递交</w:t>
      </w:r>
      <w:r>
        <w:rPr>
          <w:rFonts w:hint="eastAsia" w:ascii="Times New Roman" w:hAnsi="Times New Roman" w:eastAsia="仿宋" w:cs="Times New Roman"/>
          <w:sz w:val="28"/>
          <w:szCs w:val="28"/>
          <w:lang w:val="en-US" w:eastAsia="zh-CN"/>
        </w:rPr>
        <w:t>了</w:t>
      </w:r>
      <w:r>
        <w:rPr>
          <w:rFonts w:hint="eastAsia" w:eastAsia="仿宋" w:cs="Times New Roman"/>
          <w:sz w:val="28"/>
          <w:szCs w:val="28"/>
          <w:lang w:val="en-US" w:eastAsia="zh-CN"/>
        </w:rPr>
        <w:t>辞呈</w:t>
      </w:r>
      <w:r>
        <w:rPr>
          <w:rFonts w:hint="eastAsia" w:ascii="Times New Roman" w:hAnsi="Times New Roman" w:eastAsia="仿宋" w:cs="Times New Roman"/>
          <w:sz w:val="28"/>
          <w:szCs w:val="28"/>
          <w:lang w:val="en-US" w:eastAsia="zh-CN"/>
        </w:rPr>
        <w:t>，辞去</w:t>
      </w:r>
      <w:r>
        <w:rPr>
          <w:rFonts w:hint="eastAsia" w:ascii="仿宋" w:hAnsi="仿宋" w:eastAsia="仿宋" w:cs="仿宋"/>
          <w:color w:val="000000"/>
          <w:kern w:val="0"/>
          <w:sz w:val="28"/>
          <w:szCs w:val="28"/>
          <w:lang w:val="en-US" w:eastAsia="zh-CN" w:bidi="ar"/>
        </w:rPr>
        <w:t>公司第九届董事会独立董事职务。</w:t>
      </w:r>
      <w:r>
        <w:rPr>
          <w:rFonts w:hint="eastAsia" w:ascii="Times New Roman" w:hAnsi="Times New Roman" w:eastAsia="仿宋" w:cs="Times New Roman"/>
          <w:sz w:val="28"/>
          <w:szCs w:val="28"/>
          <w:lang w:val="en-US" w:eastAsia="zh-CN"/>
        </w:rPr>
        <w:t>具体内容详见公司于</w:t>
      </w:r>
      <w:r>
        <w:rPr>
          <w:rFonts w:hint="default" w:ascii="Times New Roman" w:hAnsi="Times New Roman" w:eastAsia="仿宋" w:cs="Times New Roman"/>
          <w:sz w:val="28"/>
          <w:szCs w:val="28"/>
          <w:lang w:val="en-US" w:eastAsia="zh-CN"/>
        </w:rPr>
        <w:t>202</w:t>
      </w:r>
      <w:r>
        <w:rPr>
          <w:rFonts w:hint="eastAsia" w:eastAsia="仿宋" w:cs="Times New Roman"/>
          <w:sz w:val="28"/>
          <w:szCs w:val="28"/>
          <w:lang w:val="en-US" w:eastAsia="zh-CN"/>
        </w:rPr>
        <w:t>4</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月10日披露的《关于独立董事辞职的公告》（公告编号：</w:t>
      </w:r>
      <w:r>
        <w:rPr>
          <w:rFonts w:hint="default" w:ascii="Times New Roman" w:hAnsi="Times New Roman" w:eastAsia="仿宋" w:cs="Times New Roman"/>
          <w:sz w:val="28"/>
          <w:szCs w:val="28"/>
          <w:lang w:val="en-US" w:eastAsia="zh-CN"/>
        </w:rPr>
        <w:t>202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-0</w:t>
      </w:r>
      <w:r>
        <w:rPr>
          <w:rFonts w:hint="eastAsia" w:ascii="Times New Roman" w:hAnsi="Times New Roman" w:eastAsia="仿宋" w:cs="Times New Roman"/>
          <w:sz w:val="28"/>
          <w:szCs w:val="28"/>
          <w:lang w:val="en-US" w:eastAsia="zh-CN"/>
        </w:rPr>
        <w:t>02）。</w:t>
      </w:r>
    </w:p>
    <w:p>
      <w:pPr>
        <w:keepNext w:val="0"/>
        <w:keepLines w:val="0"/>
        <w:widowControl/>
        <w:suppressLineNumbers w:val="0"/>
        <w:ind w:firstLine="560" w:firstLineChars="200"/>
        <w:jc w:val="both"/>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sz w:val="28"/>
          <w:szCs w:val="28"/>
          <w:lang w:val="en-US" w:eastAsia="zh-CN"/>
        </w:rPr>
        <w:t>公司于</w:t>
      </w:r>
      <w:r>
        <w:rPr>
          <w:rFonts w:hint="default" w:ascii="Times New Roman" w:hAnsi="Times New Roman" w:eastAsia="仿宋" w:cs="Times New Roman"/>
          <w:sz w:val="28"/>
          <w:szCs w:val="28"/>
          <w:lang w:val="en-US" w:eastAsia="zh-CN"/>
        </w:rPr>
        <w:t>202</w:t>
      </w:r>
      <w:r>
        <w:rPr>
          <w:rFonts w:hint="eastAsia" w:ascii="Times New Roman" w:hAnsi="Times New Roman" w:eastAsia="仿宋" w:cs="Times New Roman"/>
          <w:sz w:val="28"/>
          <w:szCs w:val="28"/>
          <w:lang w:val="en-US" w:eastAsia="zh-CN"/>
        </w:rPr>
        <w:t>4年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月15日召开第九届董事会第十四次会议，审议通过了《</w:t>
      </w:r>
      <w:r>
        <w:rPr>
          <w:rFonts w:hint="eastAsia" w:ascii="Times New Roman" w:hAnsi="Times New Roman" w:eastAsia="仿宋" w:cs="Times New Roman"/>
          <w:sz w:val="28"/>
          <w:szCs w:val="28"/>
          <w:lang w:eastAsia="zh-CN"/>
        </w:rPr>
        <w:t>关于提名金华先生为第九届董事会独立董</w:t>
      </w:r>
      <w:r>
        <w:rPr>
          <w:rFonts w:hint="eastAsia" w:ascii="Times New Roman" w:hAnsi="Times New Roman" w:eastAsia="仿宋" w:cs="Times New Roman"/>
          <w:sz w:val="28"/>
          <w:szCs w:val="28"/>
          <w:lang w:val="en-US" w:eastAsia="zh-CN"/>
        </w:rPr>
        <w:t>事候选人的议案》，同意提名金华先生为公司第九届董事会独立董事候选人</w:t>
      </w:r>
      <w:r>
        <w:rPr>
          <w:rFonts w:hint="eastAsia" w:eastAsia="仿宋" w:cs="Times New Roman"/>
          <w:sz w:val="28"/>
          <w:szCs w:val="28"/>
          <w:lang w:val="en-US" w:eastAsia="zh-CN"/>
        </w:rPr>
        <w:t>，</w:t>
      </w:r>
      <w:r>
        <w:rPr>
          <w:rFonts w:hint="eastAsia" w:ascii="Times New Roman" w:hAnsi="Times New Roman" w:eastAsia="仿宋" w:cs="Times New Roman"/>
          <w:sz w:val="28"/>
          <w:szCs w:val="28"/>
          <w:lang w:val="en-US" w:eastAsia="zh-CN"/>
        </w:rPr>
        <w:t>任期自公司股东大会审议通过之日起至第九届董事会任期届</w:t>
      </w:r>
      <w:r>
        <w:rPr>
          <w:rFonts w:hint="eastAsia" w:ascii="Times New Roman" w:hAnsi="Times New Roman" w:eastAsia="仿宋" w:cs="Times New Roman"/>
          <w:color w:val="auto"/>
          <w:sz w:val="28"/>
          <w:szCs w:val="28"/>
          <w:lang w:val="en-US" w:eastAsia="zh-CN"/>
        </w:rPr>
        <w:t>满为止。</w:t>
      </w:r>
      <w:r>
        <w:rPr>
          <w:rFonts w:hint="eastAsia" w:eastAsia="仿宋" w:cs="Times New Roman"/>
          <w:color w:val="auto"/>
          <w:sz w:val="28"/>
          <w:szCs w:val="28"/>
          <w:lang w:val="en-US" w:eastAsia="zh-CN"/>
        </w:rPr>
        <w:t>此事项尚需公司股东大会审议。</w:t>
      </w:r>
    </w:p>
    <w:p>
      <w:pPr>
        <w:keepNext w:val="0"/>
        <w:keepLines w:val="0"/>
        <w:widowControl/>
        <w:suppressLineNumbers w:val="0"/>
        <w:ind w:firstLine="560" w:firstLineChars="200"/>
        <w:jc w:val="both"/>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本</w:t>
      </w:r>
      <w:r>
        <w:rPr>
          <w:rFonts w:hint="default" w:ascii="Times New Roman" w:hAnsi="Times New Roman" w:eastAsia="仿宋" w:cs="Times New Roman"/>
          <w:color w:val="auto"/>
          <w:sz w:val="28"/>
          <w:szCs w:val="28"/>
          <w:lang w:val="en-US" w:eastAsia="zh-CN"/>
        </w:rPr>
        <w:t>次提名独立董事候选人任职资格已经公司董事会提名委员会审查</w:t>
      </w:r>
      <w:r>
        <w:rPr>
          <w:rFonts w:hint="eastAsia" w:ascii="Times New Roman" w:hAnsi="Times New Roman" w:eastAsia="仿宋" w:cs="Times New Roman"/>
          <w:color w:val="auto"/>
          <w:sz w:val="28"/>
          <w:szCs w:val="28"/>
          <w:lang w:val="en-US" w:eastAsia="zh-CN"/>
        </w:rPr>
        <w:t>通过，独立董事候选人金华先生符合法律、行政法规、规章和规范性文件关于上市公司独立董事的任职要求，具备中国证监会《</w:t>
      </w:r>
      <w:r>
        <w:rPr>
          <w:rFonts w:hint="eastAsia" w:ascii="Times New Roman" w:hAnsi="仿宋" w:eastAsia="仿宋" w:cs="Times New Roman"/>
          <w:bCs/>
          <w:color w:val="auto"/>
          <w:kern w:val="2"/>
          <w:sz w:val="28"/>
          <w:szCs w:val="28"/>
          <w:highlight w:val="none"/>
          <w:lang w:val="en-US" w:eastAsia="zh-CN" w:bidi="ar-SA"/>
        </w:rPr>
        <w:t>上市公司独立董事管理办法</w:t>
      </w:r>
      <w:r>
        <w:rPr>
          <w:rFonts w:hint="eastAsia" w:ascii="Times New Roman" w:hAnsi="Times New Roman" w:eastAsia="仿宋" w:cs="Times New Roman"/>
          <w:color w:val="auto"/>
          <w:sz w:val="28"/>
          <w:szCs w:val="28"/>
          <w:lang w:val="en-US" w:eastAsia="zh-CN"/>
        </w:rPr>
        <w:t>》所要求的任职资格和独立性，已</w:t>
      </w:r>
      <w:r>
        <w:rPr>
          <w:rFonts w:hint="default" w:ascii="Times New Roman" w:hAnsi="Times New Roman" w:eastAsia="仿宋" w:cs="Times New Roman"/>
          <w:color w:val="auto"/>
          <w:sz w:val="28"/>
          <w:szCs w:val="28"/>
          <w:lang w:val="en-US" w:eastAsia="zh-CN"/>
        </w:rPr>
        <w:t>取得深圳证券交易所认可的独立董事资格证书</w:t>
      </w:r>
      <w:r>
        <w:rPr>
          <w:rFonts w:hint="eastAsia" w:ascii="Times New Roman" w:hAnsi="Times New Roman" w:eastAsia="仿宋" w:cs="Times New Roman"/>
          <w:color w:val="auto"/>
          <w:sz w:val="28"/>
          <w:szCs w:val="28"/>
          <w:lang w:val="en-US" w:eastAsia="zh-CN"/>
        </w:rPr>
        <w:t>。</w:t>
      </w:r>
    </w:p>
    <w:p>
      <w:pPr>
        <w:keepNext w:val="0"/>
        <w:keepLines w:val="0"/>
        <w:widowControl/>
        <w:suppressLineNumbers w:val="0"/>
        <w:ind w:firstLine="560" w:firstLineChars="200"/>
        <w:jc w:val="both"/>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独立董事候选人的任职资格和独立性尚需经</w:t>
      </w:r>
      <w:r>
        <w:rPr>
          <w:rFonts w:hint="eastAsia" w:eastAsia="仿宋" w:cs="Times New Roman"/>
          <w:sz w:val="28"/>
          <w:szCs w:val="28"/>
          <w:lang w:val="en-US" w:eastAsia="zh-CN"/>
        </w:rPr>
        <w:t>深圳证券交易所</w:t>
      </w:r>
      <w:r>
        <w:rPr>
          <w:rFonts w:hint="eastAsia" w:ascii="Times New Roman" w:hAnsi="Times New Roman" w:eastAsia="仿宋" w:cs="Times New Roman"/>
          <w:sz w:val="28"/>
          <w:szCs w:val="28"/>
          <w:lang w:val="en-US" w:eastAsia="zh-CN"/>
        </w:rPr>
        <w:t>审核无异议后，提交</w:t>
      </w:r>
      <w:r>
        <w:rPr>
          <w:rFonts w:hint="default" w:ascii="Times New Roman" w:hAnsi="Times New Roman" w:eastAsia="仿宋" w:cs="Times New Roman"/>
          <w:sz w:val="28"/>
          <w:szCs w:val="28"/>
        </w:rPr>
        <w:t>公司20</w:t>
      </w:r>
      <w:r>
        <w:rPr>
          <w:rFonts w:hint="eastAsia" w:ascii="Times New Roman" w:hAnsi="Times New Roman" w:eastAsia="仿宋" w:cs="Times New Roman"/>
          <w:sz w:val="28"/>
          <w:szCs w:val="28"/>
          <w:lang w:val="en-US" w:eastAsia="zh-CN"/>
        </w:rPr>
        <w:t>24</w:t>
      </w:r>
      <w:r>
        <w:rPr>
          <w:rFonts w:hint="default" w:ascii="Times New Roman" w:hAnsi="Times New Roman" w:eastAsia="仿宋" w:cs="Times New Roman"/>
          <w:sz w:val="28"/>
          <w:szCs w:val="28"/>
        </w:rPr>
        <w:t>年第一次临时股东大会审议</w:t>
      </w:r>
      <w:r>
        <w:rPr>
          <w:rFonts w:hint="eastAsia" w:ascii="Times New Roman" w:hAnsi="Times New Roman" w:eastAsia="仿宋" w:cs="Times New Roman"/>
          <w:sz w:val="28"/>
          <w:szCs w:val="28"/>
          <w:lang w:val="en-US" w:eastAsia="zh-CN"/>
        </w:rPr>
        <w:t>。</w:t>
      </w:r>
    </w:p>
    <w:p>
      <w:pPr>
        <w:keepNext w:val="0"/>
        <w:keepLines w:val="0"/>
        <w:widowControl/>
        <w:suppressLineNumbers w:val="0"/>
        <w:ind w:firstLine="560" w:firstLineChars="200"/>
        <w:jc w:val="both"/>
        <w:rPr>
          <w:rFonts w:hint="eastAsia" w:ascii="Times New Roman" w:hAnsi="Times New Roman" w:eastAsia="仿宋" w:cs="Times New Roman"/>
          <w:sz w:val="28"/>
          <w:szCs w:val="28"/>
          <w:lang w:val="en-US" w:eastAsia="zh-CN"/>
        </w:rPr>
      </w:pPr>
    </w:p>
    <w:p>
      <w:pPr>
        <w:keepNext w:val="0"/>
        <w:keepLines w:val="0"/>
        <w:widowControl/>
        <w:suppressLineNumbers w:val="0"/>
        <w:ind w:firstLine="560" w:firstLineChars="200"/>
        <w:jc w:val="both"/>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特此公告。</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leftChars="0" w:firstLine="548" w:firstLineChars="196"/>
        <w:jc w:val="left"/>
        <w:textAlignment w:val="auto"/>
        <w:rPr>
          <w:rFonts w:hint="default" w:ascii="Times New Roman" w:hAnsi="Times New Roman" w:eastAsia="仿宋" w:cs="Times New Roman"/>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Times New Roman" w:hAnsi="仿宋" w:eastAsia="仿宋" w:cs="Times New Roman"/>
          <w:bCs/>
          <w:kern w:val="2"/>
          <w:sz w:val="28"/>
          <w:szCs w:val="28"/>
          <w:highlight w:val="none"/>
          <w:lang w:val="en-US" w:eastAsia="zh-CN" w:bidi="ar-SA"/>
        </w:rPr>
      </w:pPr>
      <w:r>
        <w:rPr>
          <w:rFonts w:hint="eastAsia" w:ascii="Times New Roman" w:hAnsi="仿宋" w:eastAsia="仿宋" w:cs="Times New Roman"/>
          <w:bCs/>
          <w:kern w:val="2"/>
          <w:sz w:val="28"/>
          <w:szCs w:val="28"/>
          <w:highlight w:val="none"/>
          <w:lang w:val="en-US" w:eastAsia="zh-CN" w:bidi="ar-SA"/>
        </w:rPr>
        <w:t>附：金华先生简历</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仿宋"/>
          <w:sz w:val="32"/>
          <w:szCs w:val="32"/>
        </w:rPr>
      </w:pPr>
    </w:p>
    <w:p>
      <w:pPr>
        <w:keepNext w:val="0"/>
        <w:keepLines w:val="0"/>
        <w:pageBreakBefore w:val="0"/>
        <w:kinsoku/>
        <w:wordWrap/>
        <w:overflowPunct/>
        <w:topLinePunct w:val="0"/>
        <w:bidi w:val="0"/>
        <w:spacing w:line="580" w:lineRule="exact"/>
        <w:ind w:firstLine="4620" w:firstLineChars="1650"/>
        <w:textAlignment w:val="auto"/>
        <w:rPr>
          <w:rFonts w:hint="eastAsia" w:ascii="Times New Roman" w:hAnsi="Times New Roman" w:eastAsia="仿宋"/>
          <w:sz w:val="28"/>
          <w:szCs w:val="28"/>
        </w:rPr>
      </w:pPr>
    </w:p>
    <w:p>
      <w:pPr>
        <w:keepNext w:val="0"/>
        <w:keepLines w:val="0"/>
        <w:pageBreakBefore w:val="0"/>
        <w:kinsoku/>
        <w:wordWrap/>
        <w:overflowPunct/>
        <w:topLinePunct w:val="0"/>
        <w:bidi w:val="0"/>
        <w:spacing w:line="580" w:lineRule="exact"/>
        <w:ind w:firstLine="4620" w:firstLineChars="1650"/>
        <w:textAlignment w:val="auto"/>
        <w:rPr>
          <w:rFonts w:ascii="Times New Roman" w:hAnsi="Times New Roman" w:eastAsia="仿宋"/>
          <w:sz w:val="28"/>
          <w:szCs w:val="28"/>
        </w:rPr>
      </w:pPr>
      <w:r>
        <w:rPr>
          <w:rFonts w:hint="eastAsia" w:ascii="Times New Roman" w:hAnsi="Times New Roman" w:eastAsia="仿宋"/>
          <w:sz w:val="28"/>
          <w:szCs w:val="28"/>
        </w:rPr>
        <w:t>吉</w:t>
      </w:r>
      <w:r>
        <w:rPr>
          <w:rFonts w:ascii="Times New Roman" w:hAnsi="Times New Roman" w:eastAsia="仿宋"/>
          <w:sz w:val="28"/>
          <w:szCs w:val="28"/>
        </w:rPr>
        <w:t>林电力股份有限公司</w:t>
      </w:r>
      <w:r>
        <w:rPr>
          <w:rFonts w:hint="eastAsia" w:eastAsia="仿宋"/>
          <w:sz w:val="28"/>
          <w:szCs w:val="28"/>
          <w:lang w:val="en-US" w:eastAsia="zh-CN"/>
        </w:rPr>
        <w:t>董</w:t>
      </w:r>
      <w:r>
        <w:rPr>
          <w:rFonts w:ascii="Times New Roman" w:hAnsi="Times New Roman" w:eastAsia="仿宋"/>
          <w:sz w:val="28"/>
          <w:szCs w:val="28"/>
        </w:rPr>
        <w:t>事会</w:t>
      </w:r>
    </w:p>
    <w:p>
      <w:pPr>
        <w:keepNext w:val="0"/>
        <w:keepLines w:val="0"/>
        <w:pageBreakBefore w:val="0"/>
        <w:tabs>
          <w:tab w:val="left" w:pos="2805"/>
          <w:tab w:val="right" w:pos="8026"/>
        </w:tabs>
        <w:kinsoku/>
        <w:wordWrap/>
        <w:overflowPunct/>
        <w:topLinePunct w:val="0"/>
        <w:bidi w:val="0"/>
        <w:spacing w:line="580" w:lineRule="exact"/>
        <w:jc w:val="left"/>
        <w:textAlignment w:val="auto"/>
        <w:rPr>
          <w:rFonts w:ascii="仿宋" w:hAnsi="仿宋" w:eastAsia="仿宋"/>
          <w:sz w:val="28"/>
          <w:szCs w:val="28"/>
        </w:rPr>
      </w:pPr>
      <w:r>
        <w:rPr>
          <w:rFonts w:ascii="Times New Roman" w:hAnsi="Times New Roman" w:eastAsia="仿宋"/>
          <w:sz w:val="28"/>
          <w:szCs w:val="28"/>
        </w:rPr>
        <w:tab/>
      </w:r>
      <w:r>
        <w:rPr>
          <w:rFonts w:ascii="Times New Roman" w:hAnsi="Times New Roman" w:eastAsia="仿宋"/>
          <w:sz w:val="28"/>
          <w:szCs w:val="28"/>
        </w:rPr>
        <w:tab/>
      </w:r>
      <w:r>
        <w:rPr>
          <w:rFonts w:ascii="仿宋" w:hAnsi="仿宋" w:eastAsia="仿宋"/>
          <w:sz w:val="28"/>
          <w:szCs w:val="28"/>
        </w:rPr>
        <w:t>二○二</w:t>
      </w:r>
      <w:r>
        <w:rPr>
          <w:rFonts w:hint="eastAsia" w:ascii="仿宋" w:hAnsi="仿宋" w:eastAsia="仿宋"/>
          <w:sz w:val="28"/>
          <w:szCs w:val="28"/>
          <w:lang w:val="en-US" w:eastAsia="zh-CN"/>
        </w:rPr>
        <w:t>四</w:t>
      </w:r>
      <w:r>
        <w:rPr>
          <w:rFonts w:ascii="仿宋" w:hAnsi="仿宋" w:eastAsia="仿宋"/>
          <w:sz w:val="28"/>
          <w:szCs w:val="28"/>
        </w:rPr>
        <w:t>年</w:t>
      </w:r>
      <w:r>
        <w:rPr>
          <w:rFonts w:hint="eastAsia" w:ascii="仿宋" w:hAnsi="仿宋" w:eastAsia="仿宋"/>
          <w:sz w:val="28"/>
          <w:szCs w:val="28"/>
          <w:lang w:val="en-US" w:eastAsia="zh-CN"/>
        </w:rPr>
        <w:t>一</w:t>
      </w:r>
      <w:r>
        <w:rPr>
          <w:rFonts w:ascii="仿宋" w:hAnsi="仿宋" w:eastAsia="仿宋"/>
          <w:sz w:val="28"/>
          <w:szCs w:val="28"/>
        </w:rPr>
        <w:t>月</w:t>
      </w:r>
      <w:r>
        <w:rPr>
          <w:rFonts w:hint="eastAsia" w:ascii="仿宋" w:hAnsi="仿宋" w:eastAsia="仿宋"/>
          <w:sz w:val="28"/>
          <w:szCs w:val="28"/>
          <w:lang w:val="en-US" w:eastAsia="zh-CN"/>
        </w:rPr>
        <w:t>十五</w:t>
      </w:r>
      <w:r>
        <w:rPr>
          <w:rFonts w:ascii="仿宋" w:hAnsi="仿宋" w:eastAsia="仿宋"/>
          <w:sz w:val="28"/>
          <w:szCs w:val="28"/>
        </w:rPr>
        <w:t>日</w:t>
      </w: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eastAsia" w:ascii="Times New Roman" w:hAnsi="仿宋" w:eastAsia="仿宋" w:cs="Times New Roman"/>
          <w:b/>
          <w:bCs w:val="0"/>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pacing w:line="580" w:lineRule="exact"/>
        <w:ind w:firstLine="435"/>
        <w:textAlignment w:val="auto"/>
        <w:rPr>
          <w:rFonts w:hint="default" w:ascii="Times New Roman" w:hAnsi="仿宋" w:eastAsia="仿宋" w:cs="Times New Roman"/>
          <w:b/>
          <w:bCs w:val="0"/>
          <w:kern w:val="2"/>
          <w:sz w:val="28"/>
          <w:szCs w:val="28"/>
          <w:highlight w:val="none"/>
          <w:lang w:val="en-US" w:eastAsia="zh-CN" w:bidi="ar-SA"/>
        </w:rPr>
      </w:pPr>
      <w:r>
        <w:rPr>
          <w:rFonts w:hint="eastAsia" w:ascii="Times New Roman" w:hAnsi="仿宋" w:eastAsia="仿宋" w:cs="Times New Roman"/>
          <w:b/>
          <w:bCs w:val="0"/>
          <w:kern w:val="2"/>
          <w:sz w:val="28"/>
          <w:szCs w:val="28"/>
          <w:highlight w:val="none"/>
          <w:lang w:val="en-US" w:eastAsia="zh-CN" w:bidi="ar-SA"/>
        </w:rPr>
        <w:t>附：</w:t>
      </w:r>
    </w:p>
    <w:p>
      <w:pPr>
        <w:keepNext w:val="0"/>
        <w:keepLines w:val="0"/>
        <w:pageBreakBefore w:val="0"/>
        <w:kinsoku/>
        <w:wordWrap/>
        <w:overflowPunct/>
        <w:topLinePunct w:val="0"/>
        <w:autoSpaceDE/>
        <w:autoSpaceDN/>
        <w:bidi w:val="0"/>
        <w:adjustRightInd/>
        <w:spacing w:line="580" w:lineRule="exact"/>
        <w:ind w:firstLine="435"/>
        <w:jc w:val="center"/>
        <w:textAlignment w:val="auto"/>
        <w:rPr>
          <w:rFonts w:hint="eastAsia" w:ascii="Times New Roman" w:hAnsi="仿宋" w:eastAsia="仿宋" w:cs="Times New Roman"/>
          <w:b/>
          <w:bCs w:val="0"/>
          <w:kern w:val="2"/>
          <w:sz w:val="28"/>
          <w:szCs w:val="28"/>
          <w:highlight w:val="none"/>
          <w:lang w:val="en-US" w:eastAsia="zh-CN" w:bidi="ar-SA"/>
        </w:rPr>
      </w:pPr>
      <w:r>
        <w:rPr>
          <w:rFonts w:hint="eastAsia" w:ascii="Times New Roman" w:hAnsi="仿宋" w:eastAsia="仿宋" w:cs="Times New Roman"/>
          <w:b/>
          <w:bCs w:val="0"/>
          <w:kern w:val="2"/>
          <w:sz w:val="28"/>
          <w:szCs w:val="28"/>
          <w:highlight w:val="none"/>
          <w:lang w:val="en-US" w:eastAsia="zh-CN" w:bidi="ar-SA"/>
        </w:rPr>
        <w:t>金华先生简历</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Times New Roman" w:hAnsi="仿宋" w:eastAsia="仿宋" w:cs="Times New Roman"/>
          <w:bCs/>
          <w:kern w:val="2"/>
          <w:sz w:val="28"/>
          <w:szCs w:val="28"/>
          <w:highlight w:val="none"/>
          <w:lang w:val="en-US" w:eastAsia="zh-CN" w:bidi="ar-SA"/>
        </w:rPr>
      </w:pPr>
      <w:r>
        <w:rPr>
          <w:rFonts w:hint="eastAsia" w:ascii="Times New Roman" w:hAnsi="仿宋" w:eastAsia="仿宋" w:cs="Times New Roman"/>
          <w:bCs/>
          <w:kern w:val="2"/>
          <w:sz w:val="28"/>
          <w:szCs w:val="28"/>
          <w:highlight w:val="none"/>
          <w:lang w:val="en-US" w:eastAsia="zh-CN" w:bidi="ar-SA"/>
        </w:rPr>
        <w:t>金华，男，汉族，1963年</w:t>
      </w:r>
      <w:r>
        <w:rPr>
          <w:rFonts w:hint="eastAsia" w:hAnsi="仿宋" w:eastAsia="仿宋" w:cs="Times New Roman"/>
          <w:bCs/>
          <w:kern w:val="2"/>
          <w:sz w:val="28"/>
          <w:szCs w:val="28"/>
          <w:highlight w:val="none"/>
          <w:lang w:val="en-US" w:eastAsia="zh-CN" w:bidi="ar-SA"/>
        </w:rPr>
        <w:t>2</w:t>
      </w:r>
      <w:r>
        <w:rPr>
          <w:rFonts w:hint="eastAsia" w:ascii="Times New Roman" w:hAnsi="仿宋" w:eastAsia="仿宋" w:cs="Times New Roman"/>
          <w:bCs/>
          <w:kern w:val="2"/>
          <w:sz w:val="28"/>
          <w:szCs w:val="28"/>
          <w:highlight w:val="none"/>
          <w:lang w:val="en-US" w:eastAsia="zh-CN" w:bidi="ar-SA"/>
        </w:rPr>
        <w:t>月出生。正高级会计师，硕士</w:t>
      </w:r>
      <w:r>
        <w:rPr>
          <w:rFonts w:hint="eastAsia" w:hAnsi="仿宋" w:eastAsia="仿宋" w:cs="Times New Roman"/>
          <w:bCs/>
          <w:kern w:val="2"/>
          <w:sz w:val="28"/>
          <w:szCs w:val="28"/>
          <w:highlight w:val="none"/>
          <w:lang w:val="en-US" w:eastAsia="zh-CN" w:bidi="ar-SA"/>
        </w:rPr>
        <w:t>研究生</w:t>
      </w:r>
      <w:r>
        <w:rPr>
          <w:rFonts w:hint="eastAsia" w:ascii="Times New Roman" w:hAnsi="仿宋" w:eastAsia="仿宋" w:cs="Times New Roman"/>
          <w:bCs/>
          <w:kern w:val="2"/>
          <w:sz w:val="28"/>
          <w:szCs w:val="28"/>
          <w:highlight w:val="none"/>
          <w:lang w:val="en-US" w:eastAsia="zh-CN" w:bidi="ar-SA"/>
        </w:rPr>
        <w:t>学历。</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Times New Roman" w:hAnsi="仿宋" w:eastAsia="仿宋" w:cs="Times New Roman"/>
          <w:bCs/>
          <w:kern w:val="2"/>
          <w:sz w:val="28"/>
          <w:szCs w:val="28"/>
          <w:highlight w:val="none"/>
          <w:lang w:val="en-US" w:eastAsia="zh-CN" w:bidi="ar-SA"/>
        </w:rPr>
      </w:pPr>
      <w:r>
        <w:rPr>
          <w:rFonts w:hint="eastAsia" w:ascii="Times New Roman" w:hAnsi="仿宋" w:eastAsia="仿宋" w:cs="Times New Roman"/>
          <w:bCs/>
          <w:kern w:val="2"/>
          <w:sz w:val="28"/>
          <w:szCs w:val="28"/>
          <w:highlight w:val="none"/>
          <w:lang w:val="en-US" w:eastAsia="zh-CN" w:bidi="ar-SA"/>
        </w:rPr>
        <w:t>曾任中国华能集团公司华东分公司总会计师、副总经理</w:t>
      </w:r>
      <w:r>
        <w:rPr>
          <w:rFonts w:hint="eastAsia" w:hAnsi="仿宋" w:eastAsia="仿宋" w:cs="Times New Roman"/>
          <w:bCs/>
          <w:kern w:val="2"/>
          <w:sz w:val="28"/>
          <w:szCs w:val="28"/>
          <w:highlight w:val="none"/>
          <w:lang w:val="en-US" w:eastAsia="zh-CN" w:bidi="ar-SA"/>
        </w:rPr>
        <w:t>、</w:t>
      </w:r>
      <w:r>
        <w:rPr>
          <w:rFonts w:hint="eastAsia" w:ascii="Times New Roman" w:hAnsi="仿宋" w:eastAsia="仿宋" w:cs="Times New Roman"/>
          <w:bCs/>
          <w:kern w:val="2"/>
          <w:sz w:val="28"/>
          <w:szCs w:val="28"/>
          <w:highlight w:val="none"/>
          <w:lang w:val="en-US" w:eastAsia="zh-CN" w:bidi="ar-SA"/>
        </w:rPr>
        <w:t>党组成员；华能国际电力股份有限公司上海分公司总会计师、副总经理、党组成员；中国华能集团公司浙江分公司党组书记、副总经理，华能国际电力股份有限公司浙江分公司党组书记、副总经理；中国华能集团公司华东分公司（2018.04更名为中国华能集团有限公司华东分公司）党委书记、副总经理，华能国际电力股份有限公司上海分公司党委书记、副总经理；中国华能集团有限公司华东分公司党委书记、副总经理、总经理、党委副书记，中国华能集团有限公司检修中心常务副主任，华能国际电力股份有限公司上海分公司党委书记、副总经理、总经理、党委副书记，2023年3月退休。</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Ansi="仿宋" w:eastAsia="仿宋"/>
          <w:bCs/>
          <w:sz w:val="28"/>
          <w:szCs w:val="28"/>
        </w:rPr>
      </w:pPr>
      <w:r>
        <w:rPr>
          <w:rFonts w:hint="eastAsia" w:hAnsi="仿宋" w:eastAsia="仿宋"/>
          <w:bCs/>
          <w:sz w:val="28"/>
          <w:szCs w:val="28"/>
          <w:highlight w:val="none"/>
          <w:lang w:val="en-US" w:eastAsia="zh-CN"/>
        </w:rPr>
        <w:t>金华</w:t>
      </w:r>
      <w:r>
        <w:rPr>
          <w:rFonts w:hint="eastAsia" w:hAnsi="仿宋" w:eastAsia="仿宋"/>
          <w:bCs/>
          <w:sz w:val="28"/>
          <w:szCs w:val="28"/>
          <w:highlight w:val="none"/>
        </w:rPr>
        <w:t>先生</w:t>
      </w:r>
      <w:r>
        <w:rPr>
          <w:rFonts w:hint="eastAsia" w:hAnsi="仿宋" w:eastAsia="仿宋"/>
          <w:bCs/>
          <w:sz w:val="28"/>
          <w:szCs w:val="28"/>
          <w:highlight w:val="none"/>
          <w:lang w:val="en-US" w:eastAsia="zh-CN"/>
        </w:rPr>
        <w:t>不</w:t>
      </w:r>
      <w:r>
        <w:rPr>
          <w:rFonts w:hint="eastAsia" w:hAnsi="仿宋" w:eastAsia="仿宋"/>
          <w:bCs/>
          <w:sz w:val="28"/>
          <w:szCs w:val="28"/>
          <w:highlight w:val="none"/>
        </w:rPr>
        <w:t>持有公司股票；不存在</w:t>
      </w:r>
      <w:r>
        <w:rPr>
          <w:rFonts w:hint="eastAsia" w:ascii="Times New Roman" w:hAnsi="仿宋" w:eastAsia="仿宋" w:cs="Times New Roman"/>
          <w:bCs/>
          <w:sz w:val="28"/>
          <w:szCs w:val="28"/>
          <w:highlight w:val="none"/>
        </w:rPr>
        <w:t>《公司法》等法律法规及其他有关规定不得担任董事的情形；</w:t>
      </w:r>
      <w:r>
        <w:rPr>
          <w:rFonts w:hint="eastAsia" w:hAnsi="仿宋" w:eastAsia="仿宋"/>
          <w:bCs/>
          <w:sz w:val="28"/>
          <w:szCs w:val="28"/>
          <w:highlight w:val="none"/>
        </w:rPr>
        <w:t>未被中国证监会采取证券市场禁入措施；未被证券交易所公开认定为不适合担任上市公司董事</w:t>
      </w:r>
      <w:r>
        <w:rPr>
          <w:rFonts w:hint="eastAsia" w:hAnsi="仿宋" w:eastAsia="仿宋"/>
          <w:bCs/>
          <w:sz w:val="28"/>
          <w:szCs w:val="28"/>
        </w:rPr>
        <w:t>、监事和高级管理人员；最近三年内未受到中国证监会行政处罚；最近三年内未受到证券交易所公开谴责或者三次以上通报批评；不存在因涉嫌犯罪被司法机关立案侦查或者涉嫌违法违规被中国证监会立案调查，尚未有明确结论意见的情形；未被中国证监会</w:t>
      </w:r>
      <w:r>
        <w:rPr>
          <w:rFonts w:hint="eastAsia" w:hAnsi="仿宋" w:eastAsia="仿宋"/>
          <w:bCs/>
          <w:sz w:val="28"/>
          <w:szCs w:val="28"/>
          <w:highlight w:val="none"/>
        </w:rPr>
        <w:t>在证券期货市场违法失信信息公开查询平台公示或者被人民法院纳入失信被执行人名单；与控股股东、实际控制人</w:t>
      </w:r>
      <w:r>
        <w:rPr>
          <w:rFonts w:hint="eastAsia" w:hAnsi="仿宋" w:eastAsia="仿宋"/>
          <w:bCs/>
          <w:sz w:val="28"/>
          <w:szCs w:val="28"/>
          <w:highlight w:val="none"/>
          <w:lang w:val="en-US" w:eastAsia="zh-CN"/>
        </w:rPr>
        <w:t>及</w:t>
      </w:r>
      <w:r>
        <w:rPr>
          <w:rFonts w:hint="eastAsia" w:hAnsi="仿宋" w:eastAsia="仿宋"/>
          <w:bCs/>
          <w:sz w:val="28"/>
          <w:szCs w:val="28"/>
          <w:highlight w:val="none"/>
        </w:rPr>
        <w:t>其他持有公司5%以上股份的股东、公司其他董事、监事和高级管理人员不存在关联关系；符</w:t>
      </w:r>
      <w:r>
        <w:rPr>
          <w:rFonts w:hint="eastAsia" w:hAnsi="仿宋" w:eastAsia="仿宋"/>
          <w:bCs/>
          <w:sz w:val="28"/>
          <w:szCs w:val="28"/>
        </w:rPr>
        <w:t>合有关法律、行政法规、部门规章、规范性文件、《股票上市规则》及交易所其他相关规定要求的任职资格。</w:t>
      </w:r>
    </w:p>
    <w:p/>
    <w:p>
      <w:pPr>
        <w:keepNext w:val="0"/>
        <w:keepLines w:val="0"/>
        <w:pageBreakBefore w:val="0"/>
        <w:tabs>
          <w:tab w:val="left" w:pos="2805"/>
          <w:tab w:val="right" w:pos="8026"/>
        </w:tabs>
        <w:kinsoku/>
        <w:wordWrap/>
        <w:overflowPunct/>
        <w:topLinePunct w:val="0"/>
        <w:bidi w:val="0"/>
        <w:spacing w:line="580" w:lineRule="exact"/>
        <w:jc w:val="left"/>
        <w:textAlignment w:val="auto"/>
        <w:rPr>
          <w:rFonts w:ascii="仿宋" w:hAnsi="仿宋" w:eastAsia="仿宋"/>
          <w:sz w:val="28"/>
          <w:szCs w:val="28"/>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0CDB"/>
    <w:rsid w:val="00035452"/>
    <w:rsid w:val="00035F6F"/>
    <w:rsid w:val="00063A8D"/>
    <w:rsid w:val="000A3C4A"/>
    <w:rsid w:val="000B5D56"/>
    <w:rsid w:val="000C5011"/>
    <w:rsid w:val="000E6514"/>
    <w:rsid w:val="000F734A"/>
    <w:rsid w:val="00134B4B"/>
    <w:rsid w:val="00157C41"/>
    <w:rsid w:val="001A7862"/>
    <w:rsid w:val="0020467F"/>
    <w:rsid w:val="00223111"/>
    <w:rsid w:val="00254885"/>
    <w:rsid w:val="0026154C"/>
    <w:rsid w:val="0027644C"/>
    <w:rsid w:val="00294C77"/>
    <w:rsid w:val="002959AD"/>
    <w:rsid w:val="00296099"/>
    <w:rsid w:val="002E0B33"/>
    <w:rsid w:val="003272C8"/>
    <w:rsid w:val="0037231A"/>
    <w:rsid w:val="00417154"/>
    <w:rsid w:val="00435FF7"/>
    <w:rsid w:val="00442FF0"/>
    <w:rsid w:val="004474AC"/>
    <w:rsid w:val="00482ACC"/>
    <w:rsid w:val="004A1979"/>
    <w:rsid w:val="004C0534"/>
    <w:rsid w:val="004E2C25"/>
    <w:rsid w:val="005522CD"/>
    <w:rsid w:val="005B5D55"/>
    <w:rsid w:val="005D77D5"/>
    <w:rsid w:val="005D7A2B"/>
    <w:rsid w:val="005E058B"/>
    <w:rsid w:val="005E6B27"/>
    <w:rsid w:val="005F2F6B"/>
    <w:rsid w:val="00600112"/>
    <w:rsid w:val="0061266F"/>
    <w:rsid w:val="00630AA6"/>
    <w:rsid w:val="006975D6"/>
    <w:rsid w:val="006E047C"/>
    <w:rsid w:val="00773A4B"/>
    <w:rsid w:val="0078109F"/>
    <w:rsid w:val="00782370"/>
    <w:rsid w:val="00786090"/>
    <w:rsid w:val="007A45D4"/>
    <w:rsid w:val="007D1C7B"/>
    <w:rsid w:val="007F501E"/>
    <w:rsid w:val="00806C3C"/>
    <w:rsid w:val="00806E60"/>
    <w:rsid w:val="00821C03"/>
    <w:rsid w:val="00850FCA"/>
    <w:rsid w:val="008B4D38"/>
    <w:rsid w:val="008C7CDA"/>
    <w:rsid w:val="00927840"/>
    <w:rsid w:val="00961D15"/>
    <w:rsid w:val="00965EFA"/>
    <w:rsid w:val="0097169A"/>
    <w:rsid w:val="009902D5"/>
    <w:rsid w:val="00991474"/>
    <w:rsid w:val="009B2060"/>
    <w:rsid w:val="00A16278"/>
    <w:rsid w:val="00A32597"/>
    <w:rsid w:val="00A41462"/>
    <w:rsid w:val="00AA3F7F"/>
    <w:rsid w:val="00AB1C6E"/>
    <w:rsid w:val="00AB699D"/>
    <w:rsid w:val="00AE69E0"/>
    <w:rsid w:val="00AF351C"/>
    <w:rsid w:val="00B128BC"/>
    <w:rsid w:val="00B336D5"/>
    <w:rsid w:val="00BE5F88"/>
    <w:rsid w:val="00BF1DFD"/>
    <w:rsid w:val="00BF4EDD"/>
    <w:rsid w:val="00C029BA"/>
    <w:rsid w:val="00C4476B"/>
    <w:rsid w:val="00C61CAA"/>
    <w:rsid w:val="00CA2548"/>
    <w:rsid w:val="00CF57DB"/>
    <w:rsid w:val="00D00DAA"/>
    <w:rsid w:val="00D07125"/>
    <w:rsid w:val="00D259B3"/>
    <w:rsid w:val="00D61B0A"/>
    <w:rsid w:val="00D8439F"/>
    <w:rsid w:val="00D87228"/>
    <w:rsid w:val="00DE7FE5"/>
    <w:rsid w:val="00DF2967"/>
    <w:rsid w:val="00E06F72"/>
    <w:rsid w:val="00E322E8"/>
    <w:rsid w:val="00E434F4"/>
    <w:rsid w:val="00E867D9"/>
    <w:rsid w:val="00E87057"/>
    <w:rsid w:val="00E968B0"/>
    <w:rsid w:val="00EC38C2"/>
    <w:rsid w:val="00F04D26"/>
    <w:rsid w:val="00F210DE"/>
    <w:rsid w:val="00F34F1E"/>
    <w:rsid w:val="00F41469"/>
    <w:rsid w:val="00F83A50"/>
    <w:rsid w:val="00FA6957"/>
    <w:rsid w:val="00FC7CDD"/>
    <w:rsid w:val="00FD4924"/>
    <w:rsid w:val="01411C55"/>
    <w:rsid w:val="01641BAD"/>
    <w:rsid w:val="01FA3894"/>
    <w:rsid w:val="03BC0CC1"/>
    <w:rsid w:val="043B2F16"/>
    <w:rsid w:val="046A4330"/>
    <w:rsid w:val="047D246A"/>
    <w:rsid w:val="05211E97"/>
    <w:rsid w:val="053C36A1"/>
    <w:rsid w:val="06CE0E6C"/>
    <w:rsid w:val="06E41591"/>
    <w:rsid w:val="072E3340"/>
    <w:rsid w:val="07C4574A"/>
    <w:rsid w:val="08555D85"/>
    <w:rsid w:val="08870C19"/>
    <w:rsid w:val="09144336"/>
    <w:rsid w:val="099B5FE8"/>
    <w:rsid w:val="0A7720BF"/>
    <w:rsid w:val="0AA552A8"/>
    <w:rsid w:val="0B2B47BA"/>
    <w:rsid w:val="0C3D3ECB"/>
    <w:rsid w:val="0D796C5F"/>
    <w:rsid w:val="0E74495A"/>
    <w:rsid w:val="0ED41C1F"/>
    <w:rsid w:val="0F2E4A1B"/>
    <w:rsid w:val="102E0EE3"/>
    <w:rsid w:val="10506974"/>
    <w:rsid w:val="11374CBB"/>
    <w:rsid w:val="118442A0"/>
    <w:rsid w:val="11B42A29"/>
    <w:rsid w:val="12144569"/>
    <w:rsid w:val="12216C8B"/>
    <w:rsid w:val="12980212"/>
    <w:rsid w:val="134157C5"/>
    <w:rsid w:val="1382001C"/>
    <w:rsid w:val="14077BDA"/>
    <w:rsid w:val="1459096F"/>
    <w:rsid w:val="14B36996"/>
    <w:rsid w:val="14EF0946"/>
    <w:rsid w:val="16AC5819"/>
    <w:rsid w:val="177210F4"/>
    <w:rsid w:val="17A618B4"/>
    <w:rsid w:val="18B7393A"/>
    <w:rsid w:val="19BE287C"/>
    <w:rsid w:val="1A455668"/>
    <w:rsid w:val="1AC739FE"/>
    <w:rsid w:val="1B667887"/>
    <w:rsid w:val="1BF04D1A"/>
    <w:rsid w:val="1C252EBD"/>
    <w:rsid w:val="1E452750"/>
    <w:rsid w:val="1EE61282"/>
    <w:rsid w:val="202538B8"/>
    <w:rsid w:val="203715BC"/>
    <w:rsid w:val="204732C0"/>
    <w:rsid w:val="204F7A20"/>
    <w:rsid w:val="21155C52"/>
    <w:rsid w:val="212A32FB"/>
    <w:rsid w:val="214E2A87"/>
    <w:rsid w:val="2237084A"/>
    <w:rsid w:val="224D4BEA"/>
    <w:rsid w:val="237C6B75"/>
    <w:rsid w:val="238B4FEE"/>
    <w:rsid w:val="24011246"/>
    <w:rsid w:val="242A142B"/>
    <w:rsid w:val="251505A8"/>
    <w:rsid w:val="25354C69"/>
    <w:rsid w:val="272E4136"/>
    <w:rsid w:val="297D4844"/>
    <w:rsid w:val="2AA50633"/>
    <w:rsid w:val="2BD77A9C"/>
    <w:rsid w:val="2BDC46D9"/>
    <w:rsid w:val="2C782F45"/>
    <w:rsid w:val="2CCA74BB"/>
    <w:rsid w:val="2CF22EAC"/>
    <w:rsid w:val="2D0A4A3C"/>
    <w:rsid w:val="2E524629"/>
    <w:rsid w:val="30141A6E"/>
    <w:rsid w:val="30C71216"/>
    <w:rsid w:val="31E60071"/>
    <w:rsid w:val="31F07F7E"/>
    <w:rsid w:val="321A50E9"/>
    <w:rsid w:val="326856A5"/>
    <w:rsid w:val="32E35645"/>
    <w:rsid w:val="32E6467A"/>
    <w:rsid w:val="32E735FD"/>
    <w:rsid w:val="33AF3B80"/>
    <w:rsid w:val="34666505"/>
    <w:rsid w:val="36051918"/>
    <w:rsid w:val="367029AB"/>
    <w:rsid w:val="36E05914"/>
    <w:rsid w:val="374D117B"/>
    <w:rsid w:val="3819561D"/>
    <w:rsid w:val="392D28C0"/>
    <w:rsid w:val="393F36E0"/>
    <w:rsid w:val="3C2B64A7"/>
    <w:rsid w:val="3C5477BA"/>
    <w:rsid w:val="3CA345A8"/>
    <w:rsid w:val="3CCC7276"/>
    <w:rsid w:val="3D062DA2"/>
    <w:rsid w:val="3E7A698F"/>
    <w:rsid w:val="3EE96044"/>
    <w:rsid w:val="402F01F7"/>
    <w:rsid w:val="40643C9B"/>
    <w:rsid w:val="40894472"/>
    <w:rsid w:val="40B60234"/>
    <w:rsid w:val="410E5E66"/>
    <w:rsid w:val="41106103"/>
    <w:rsid w:val="41620A4E"/>
    <w:rsid w:val="41CC7876"/>
    <w:rsid w:val="43145C00"/>
    <w:rsid w:val="433A2396"/>
    <w:rsid w:val="43775F23"/>
    <w:rsid w:val="44A71F58"/>
    <w:rsid w:val="44BA1716"/>
    <w:rsid w:val="44F72DC6"/>
    <w:rsid w:val="45230373"/>
    <w:rsid w:val="45356D18"/>
    <w:rsid w:val="45C86AD0"/>
    <w:rsid w:val="46055158"/>
    <w:rsid w:val="4664520C"/>
    <w:rsid w:val="470B543D"/>
    <w:rsid w:val="487A675E"/>
    <w:rsid w:val="48E65FE3"/>
    <w:rsid w:val="49713CD0"/>
    <w:rsid w:val="4A2A6880"/>
    <w:rsid w:val="4AA94F70"/>
    <w:rsid w:val="4B732DBE"/>
    <w:rsid w:val="4B8975BB"/>
    <w:rsid w:val="4BEB7797"/>
    <w:rsid w:val="4C0F742A"/>
    <w:rsid w:val="4C3C5E71"/>
    <w:rsid w:val="4D827663"/>
    <w:rsid w:val="4E000611"/>
    <w:rsid w:val="4EF96157"/>
    <w:rsid w:val="4F59499F"/>
    <w:rsid w:val="4F9206E2"/>
    <w:rsid w:val="50E84C2F"/>
    <w:rsid w:val="51344372"/>
    <w:rsid w:val="526818ED"/>
    <w:rsid w:val="531C4FC6"/>
    <w:rsid w:val="54361EF4"/>
    <w:rsid w:val="54B24362"/>
    <w:rsid w:val="54EB0334"/>
    <w:rsid w:val="56A143BE"/>
    <w:rsid w:val="56E25ADD"/>
    <w:rsid w:val="56EA27CC"/>
    <w:rsid w:val="56F53F18"/>
    <w:rsid w:val="574654A4"/>
    <w:rsid w:val="575C141E"/>
    <w:rsid w:val="57981DA5"/>
    <w:rsid w:val="57E312B1"/>
    <w:rsid w:val="58F728F9"/>
    <w:rsid w:val="595D4310"/>
    <w:rsid w:val="599D56DD"/>
    <w:rsid w:val="5A667B77"/>
    <w:rsid w:val="5B304657"/>
    <w:rsid w:val="5B7360CD"/>
    <w:rsid w:val="5B9F4593"/>
    <w:rsid w:val="5BCE4964"/>
    <w:rsid w:val="5C1440BB"/>
    <w:rsid w:val="5C4821F4"/>
    <w:rsid w:val="5D573A29"/>
    <w:rsid w:val="5E6F74FD"/>
    <w:rsid w:val="5EE254AC"/>
    <w:rsid w:val="5F1C2907"/>
    <w:rsid w:val="60551C0A"/>
    <w:rsid w:val="609858DB"/>
    <w:rsid w:val="610E7C49"/>
    <w:rsid w:val="616333B5"/>
    <w:rsid w:val="6170257C"/>
    <w:rsid w:val="61ED03A7"/>
    <w:rsid w:val="61F54646"/>
    <w:rsid w:val="628400E5"/>
    <w:rsid w:val="64566206"/>
    <w:rsid w:val="64B3073A"/>
    <w:rsid w:val="65C57704"/>
    <w:rsid w:val="675225E6"/>
    <w:rsid w:val="67C970B8"/>
    <w:rsid w:val="698C7DE8"/>
    <w:rsid w:val="6A6B4FBD"/>
    <w:rsid w:val="6CE13DC4"/>
    <w:rsid w:val="6DEA0030"/>
    <w:rsid w:val="6FBC418C"/>
    <w:rsid w:val="70221B36"/>
    <w:rsid w:val="703B260F"/>
    <w:rsid w:val="727E688C"/>
    <w:rsid w:val="73DF75FB"/>
    <w:rsid w:val="750178E3"/>
    <w:rsid w:val="762F7ACA"/>
    <w:rsid w:val="771D507A"/>
    <w:rsid w:val="7794227D"/>
    <w:rsid w:val="77E777A4"/>
    <w:rsid w:val="78582600"/>
    <w:rsid w:val="7A0C0D93"/>
    <w:rsid w:val="7A4A0831"/>
    <w:rsid w:val="7A93429D"/>
    <w:rsid w:val="7ACA6A42"/>
    <w:rsid w:val="7B472CC2"/>
    <w:rsid w:val="7CEE3D71"/>
    <w:rsid w:val="7D4B16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link w:val="14"/>
    <w:autoRedefine/>
    <w:semiHidden/>
    <w:qFormat/>
    <w:uiPriority w:val="0"/>
    <w:rPr>
      <w:rFonts w:ascii="Tahoma" w:hAnsi="Tahoma" w:eastAsia="Times New Roman"/>
      <w:kern w:val="0"/>
      <w:sz w:val="24"/>
      <w:szCs w:val="20"/>
    </w:rPr>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autoRedefine/>
    <w:semiHidden/>
    <w:qFormat/>
    <w:uiPriority w:val="0"/>
    <w:pPr>
      <w:jc w:val="left"/>
    </w:pPr>
  </w:style>
  <w:style w:type="paragraph" w:styleId="4">
    <w:name w:val="Body Text Indent"/>
    <w:basedOn w:val="1"/>
    <w:autoRedefine/>
    <w:qFormat/>
    <w:uiPriority w:val="0"/>
    <w:pPr>
      <w:spacing w:after="120" w:afterLines="0" w:afterAutospacing="0"/>
      <w:ind w:left="420" w:leftChars="200"/>
    </w:pPr>
  </w:style>
  <w:style w:type="paragraph" w:styleId="5">
    <w:name w:val="Date"/>
    <w:basedOn w:val="1"/>
    <w:next w:val="1"/>
    <w:autoRedefine/>
    <w:qFormat/>
    <w:uiPriority w:val="0"/>
    <w:pPr>
      <w:ind w:left="100" w:leftChars="2500"/>
    </w:pPr>
  </w:style>
  <w:style w:type="paragraph" w:styleId="6">
    <w:name w:val="Body Text Indent 2"/>
    <w:basedOn w:val="1"/>
    <w:autoRedefine/>
    <w:qFormat/>
    <w:uiPriority w:val="0"/>
    <w:pPr>
      <w:spacing w:after="120" w:line="480" w:lineRule="auto"/>
      <w:ind w:left="420" w:leftChars="200"/>
    </w:pPr>
    <w:rPr>
      <w:szCs w:val="24"/>
    </w:r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4"/>
    <w:autoRedefine/>
    <w:qFormat/>
    <w:uiPriority w:val="0"/>
    <w:pPr>
      <w:ind w:firstLine="420" w:firstLineChars="200"/>
    </w:pPr>
    <w:rPr>
      <w:rFonts w:ascii="Times New Roman" w:hAnsi="Times New Roman"/>
    </w:rPr>
  </w:style>
  <w:style w:type="paragraph" w:customStyle="1" w:styleId="14">
    <w:name w:val="_Style 9"/>
    <w:basedOn w:val="1"/>
    <w:link w:val="13"/>
    <w:autoRedefine/>
    <w:qFormat/>
    <w:uiPriority w:val="0"/>
    <w:rPr>
      <w:rFonts w:ascii="Tahoma" w:hAnsi="Tahoma" w:eastAsia="Times New Roman"/>
      <w:kern w:val="0"/>
      <w:sz w:val="24"/>
      <w:szCs w:val="20"/>
    </w:rPr>
  </w:style>
  <w:style w:type="character" w:styleId="15">
    <w:name w:val="Strong"/>
    <w:autoRedefine/>
    <w:qFormat/>
    <w:uiPriority w:val="99"/>
    <w:rPr>
      <w:rFonts w:cs="Times New Roman"/>
      <w:b/>
      <w:bCs/>
    </w:rPr>
  </w:style>
  <w:style w:type="character" w:styleId="16">
    <w:name w:val="page number"/>
    <w:autoRedefine/>
    <w:qFormat/>
    <w:uiPriority w:val="0"/>
  </w:style>
  <w:style w:type="character" w:customStyle="1" w:styleId="17">
    <w:name w:val="da1"/>
    <w:autoRedefine/>
    <w:qFormat/>
    <w:uiPriority w:val="0"/>
    <w:rPr>
      <w:rFonts w:hint="default" w:ascii="_x000B__x000C_" w:hAnsi="_x000B__x000C_"/>
      <w:color w:val="000000"/>
      <w:spacing w:val="360"/>
      <w:sz w:val="21"/>
      <w:szCs w:val="21"/>
      <w:u w:val="none"/>
    </w:rPr>
  </w:style>
  <w:style w:type="character" w:customStyle="1" w:styleId="18">
    <w:name w:val="UserStyle_1"/>
    <w:autoRedefine/>
    <w:qFormat/>
    <w:uiPriority w:val="0"/>
    <w:rPr>
      <w:rFonts w:hint="default" w:ascii="Calibri" w:hAnsi="Calibri" w:cs="Calibri"/>
    </w:rPr>
  </w:style>
  <w:style w:type="paragraph" w:customStyle="1" w:styleId="19">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0">
    <w:name w:val="Char Char Char Char"/>
    <w:basedOn w:val="1"/>
    <w:autoRedefine/>
    <w:qFormat/>
    <w:uiPriority w:val="0"/>
    <w:rPr>
      <w:szCs w:val="21"/>
    </w:rPr>
  </w:style>
  <w:style w:type="paragraph" w:customStyle="1" w:styleId="21">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 w:type="paragraph" w:customStyle="1" w:styleId="22">
    <w:name w:val=" Char Char"/>
    <w:basedOn w:val="1"/>
    <w:autoRedefine/>
    <w:qFormat/>
    <w:uiPriority w:val="0"/>
    <w:pPr>
      <w:pageBreakBefore/>
      <w:tabs>
        <w:tab w:val="left" w:pos="432"/>
      </w:tabs>
      <w:ind w:left="432" w:hanging="432"/>
    </w:pPr>
    <w:rPr>
      <w:rFonts w:ascii="Tahoma" w:hAnsi="Tahoma"/>
      <w:sz w:val="24"/>
      <w:szCs w:val="20"/>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Char Char3"/>
    <w:basedOn w:val="1"/>
    <w:autoRedefine/>
    <w:qFormat/>
    <w:uiPriority w:val="0"/>
  </w:style>
  <w:style w:type="paragraph" w:customStyle="1" w:styleId="25">
    <w:name w:val="_Style 3"/>
    <w:basedOn w:val="1"/>
    <w:autoRedefine/>
    <w:qFormat/>
    <w:uiPriority w:val="0"/>
    <w:pPr>
      <w:pageBreakBefore/>
      <w:tabs>
        <w:tab w:val="left" w:pos="432"/>
      </w:tabs>
      <w:ind w:left="432" w:hanging="432"/>
    </w:pPr>
    <w:rPr>
      <w:rFonts w:ascii="Tahoma" w:hAnsi="Tahoma"/>
      <w:sz w:val="24"/>
      <w:szCs w:val="20"/>
    </w:rPr>
  </w:style>
  <w:style w:type="paragraph" w:customStyle="1" w:styleId="26">
    <w:name w:val="_Style 25"/>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4627</Words>
  <Characters>5064</Characters>
  <Lines>36</Lines>
  <Paragraphs>10</Paragraphs>
  <TotalTime>3</TotalTime>
  <ScaleCrop>false</ScaleCrop>
  <LinksUpToDate>false</LinksUpToDate>
  <CharactersWithSpaces>5097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2007-02-01T10:10:00Z</dcterms:created>
  <dc:creator>liuyongping</dc:creator>
  <cp:lastModifiedBy>WPS_1591103659</cp:lastModifiedBy>
  <cp:lastPrinted>2009-03-27T09:12:00Z</cp:lastPrinted>
  <dcterms:modified xsi:type="dcterms:W3CDTF">2024-01-15T09:35:54Z</dcterms:modified>
  <dc:title>证券代码：000875            证券简称：吉电股份              公告编号：2014-062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BECCC69968EA4DF5A78D92550B08C0FC_13</vt:lpwstr>
  </property>
</Properties>
</file>