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证券代码：000875         </w:t>
      </w:r>
      <w:r>
        <w:rPr>
          <w:rFonts w:hint="eastAsia"/>
        </w:rPr>
        <w:t xml:space="preserve">  </w:t>
      </w:r>
      <w:r>
        <w:t xml:space="preserve"> 证券简称：吉电股份       </w:t>
      </w:r>
      <w:r>
        <w:rPr>
          <w:rFonts w:hint="eastAsia"/>
        </w:rPr>
        <w:t xml:space="preserve"> </w:t>
      </w:r>
      <w:r>
        <w:t xml:space="preserve">   </w:t>
      </w:r>
      <w:r>
        <w:rPr>
          <w:rFonts w:hint="eastAsia"/>
        </w:rPr>
        <w:t xml:space="preserve">  </w:t>
      </w:r>
      <w:r>
        <w:t xml:space="preserve"> 公告编号：20</w:t>
      </w:r>
      <w:r>
        <w:rPr>
          <w:rFonts w:hint="eastAsia"/>
        </w:rPr>
        <w:t>24</w:t>
      </w:r>
      <w:r>
        <w:t>-</w:t>
      </w:r>
      <w:r>
        <w:rPr>
          <w:rFonts w:hint="eastAsia"/>
        </w:rPr>
        <w:t>024</w:t>
      </w:r>
    </w:p>
    <w:p>
      <w:pPr>
        <w:rPr>
          <w:u w:val="single"/>
        </w:rPr>
      </w:pPr>
      <w:r>
        <w:rPr>
          <w:color w:val="FF660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76200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wps:wsp>
                  </a:graphicData>
                </a:graphic>
              </wp:anchor>
            </w:drawing>
          </mc:Choice>
          <mc:Fallback>
            <w:pict>
              <v:line id="直线 2" o:spid="_x0000_s1026" o:spt="20" style="position:absolute;left:0pt;flip:y;margin-left:-5.4pt;margin-top:6pt;height:1.8pt;width:426.6pt;z-index:251659264;mso-width-relative:page;mso-height-relative:page;" filled="f" stroked="t" coordsize="21600,21600" o:gfxdata="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HBbP1gAAAAkBAAAPAAAAAAAAAAEAIAAAACIAAABkcnMvZG93bnJldi54bWxQSwECFAAUAAAA&#10;CACHTuJA05lJ+fABAADkAwAADgAAAAAAAAABACAAAAAlAQAAZHJzL2Uyb0RvYy54bWxQSwUGAAAA&#10;AAYABgBZAQAAhwUAAAAA&#10;">
                <v:fill on="f" focussize="0,0"/>
                <v:stroke weight="4.5pt" color="#FF6600" linestyle="thinThick" joinstyle="round"/>
                <v:imagedata o:title=""/>
                <o:lock v:ext="edit" aspectratio="f"/>
              </v:line>
            </w:pict>
          </mc:Fallback>
        </mc:AlternateContent>
      </w:r>
    </w:p>
    <w:p>
      <w:pPr>
        <w:jc w:val="center"/>
        <w:rPr>
          <w:b/>
          <w:sz w:val="44"/>
          <w:szCs w:val="44"/>
        </w:rPr>
      </w:pPr>
    </w:p>
    <w:p>
      <w:pPr>
        <w:jc w:val="center"/>
        <w:rPr>
          <w:b/>
          <w:sz w:val="36"/>
          <w:szCs w:val="36"/>
        </w:rPr>
      </w:pPr>
      <w:r>
        <w:rPr>
          <w:rFonts w:hint="eastAsia"/>
          <w:b/>
          <w:sz w:val="36"/>
          <w:szCs w:val="36"/>
        </w:rPr>
        <w:t>吉林电力股份有限公司</w:t>
      </w:r>
    </w:p>
    <w:p>
      <w:pPr>
        <w:jc w:val="center"/>
        <w:rPr>
          <w:rFonts w:ascii="仿宋_GB2312" w:eastAsia="仿宋_GB2312"/>
          <w:b/>
          <w:sz w:val="36"/>
          <w:szCs w:val="36"/>
        </w:rPr>
      </w:pPr>
      <w:r>
        <w:rPr>
          <w:rFonts w:hint="eastAsia"/>
          <w:b/>
          <w:sz w:val="36"/>
          <w:szCs w:val="36"/>
        </w:rPr>
        <w:t>关于非公开发行限售股份上市流通的提示性公告</w:t>
      </w:r>
    </w:p>
    <w:p>
      <w:pPr>
        <w:ind w:firstLine="562" w:firstLineChars="200"/>
        <w:rPr>
          <w:rFonts w:ascii="仿宋_GB2312" w:eastAsia="仿宋_GB2312"/>
          <w:b/>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本公司及董事会全体成员保证公告内容的真实、准确、完整，没有虚假记载、误导性陈述或重大遗漏。</w:t>
      </w:r>
    </w:p>
    <w:p>
      <w:pPr>
        <w:spacing w:line="360" w:lineRule="auto"/>
        <w:ind w:firstLine="487" w:firstLineChars="202"/>
        <w:rPr>
          <w:b/>
          <w:sz w:val="24"/>
        </w:rPr>
      </w:pPr>
    </w:p>
    <w:p>
      <w:pPr>
        <w:spacing w:line="360" w:lineRule="auto"/>
        <w:ind w:firstLine="487" w:firstLineChars="202"/>
        <w:rPr>
          <w:b/>
          <w:sz w:val="24"/>
        </w:rPr>
      </w:pPr>
      <w:r>
        <w:rPr>
          <w:rFonts w:hint="eastAsia"/>
          <w:b/>
          <w:sz w:val="24"/>
        </w:rPr>
        <w:t>重要提示：</w:t>
      </w:r>
    </w:p>
    <w:p>
      <w:pPr>
        <w:pStyle w:val="14"/>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本次非公开发行限售股份可上市流通数量为344,360,457股；</w:t>
      </w:r>
    </w:p>
    <w:p>
      <w:pPr>
        <w:pStyle w:val="14"/>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本次非公开发行限售股份上市流通日为</w:t>
      </w:r>
      <w:r>
        <w:rPr>
          <w:rFonts w:ascii="Times New Roman" w:hAnsi="Times New Roman"/>
          <w:sz w:val="24"/>
          <w:szCs w:val="24"/>
        </w:rPr>
        <w:t>20</w:t>
      </w:r>
      <w:r>
        <w:rPr>
          <w:rFonts w:hint="eastAsia" w:ascii="Times New Roman" w:hAnsi="Times New Roman"/>
          <w:sz w:val="24"/>
          <w:szCs w:val="24"/>
        </w:rPr>
        <w:t>24年4月15日。</w:t>
      </w:r>
    </w:p>
    <w:p>
      <w:pPr>
        <w:spacing w:line="360" w:lineRule="auto"/>
        <w:ind w:firstLine="484" w:firstLineChars="202"/>
        <w:rPr>
          <w:sz w:val="24"/>
        </w:rPr>
      </w:pPr>
    </w:p>
    <w:p>
      <w:pPr>
        <w:spacing w:before="156" w:beforeLines="50" w:line="360" w:lineRule="auto"/>
        <w:ind w:firstLine="568" w:firstLineChars="202"/>
        <w:rPr>
          <w:rFonts w:eastAsia="仿宋"/>
          <w:b/>
          <w:sz w:val="28"/>
          <w:szCs w:val="28"/>
        </w:rPr>
      </w:pPr>
      <w:r>
        <w:rPr>
          <w:rFonts w:hAnsi="仿宋" w:eastAsia="仿宋"/>
          <w:b/>
          <w:sz w:val="28"/>
          <w:szCs w:val="28"/>
        </w:rPr>
        <w:t>一、公司非公开发行股票情况</w:t>
      </w:r>
    </w:p>
    <w:p>
      <w:pPr>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公司非公开发行股票相关事项经第八届董事会第九次会议、第八届董事会第十一次会议以及2020年第一次临时股东大会、2020年第二次临时股东大会审议通过。</w:t>
      </w:r>
    </w:p>
    <w:p>
      <w:pPr>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2020年10月22日，公司收到了中国证监会出具的《关于核准吉林电力股份有限公司非公开发行股票的批复》（证监许可[2020]2610号），核准吉电股份非公开发行不超过643,894,194股股份。该批复自核准发行之日起12个月内有效。</w:t>
      </w:r>
    </w:p>
    <w:p>
      <w:pPr>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2021年4月13日，公司非公开发行新增股份643,894,194股在深圳证券交易所上市，公司总股本由本次发行前的2,146,313,980股增加至2,790,208,174股。本次非公开发行的具体发行对象及限售股份数量如下：</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544"/>
        <w:gridCol w:w="1592"/>
        <w:gridCol w:w="1861"/>
        <w:gridCol w:w="9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blHeader/>
        </w:trPr>
        <w:tc>
          <w:tcPr>
            <w:tcW w:w="624" w:type="dxa"/>
            <w:shd w:val="clear" w:color="auto" w:fill="DCE6F2"/>
            <w:noWrap/>
            <w:tcMar>
              <w:left w:w="57" w:type="dxa"/>
              <w:right w:w="57" w:type="dxa"/>
            </w:tcMar>
            <w:vAlign w:val="center"/>
          </w:tcPr>
          <w:p>
            <w:pPr>
              <w:jc w:val="center"/>
              <w:rPr>
                <w:b/>
                <w:bCs/>
                <w:szCs w:val="21"/>
              </w:rPr>
            </w:pPr>
            <w:r>
              <w:rPr>
                <w:rFonts w:hint="eastAsia" w:ascii="仿宋" w:hAnsi="仿宋" w:eastAsia="仿宋"/>
                <w:b/>
                <w:bCs/>
                <w:szCs w:val="21"/>
              </w:rPr>
              <w:t>序号</w:t>
            </w:r>
          </w:p>
        </w:tc>
        <w:tc>
          <w:tcPr>
            <w:tcW w:w="3544" w:type="dxa"/>
            <w:shd w:val="clear" w:color="auto" w:fill="DCE6F2"/>
            <w:tcMar>
              <w:left w:w="57" w:type="dxa"/>
              <w:right w:w="57" w:type="dxa"/>
            </w:tcMar>
            <w:vAlign w:val="center"/>
          </w:tcPr>
          <w:p>
            <w:pPr>
              <w:jc w:val="center"/>
              <w:rPr>
                <w:b/>
                <w:bCs/>
                <w:szCs w:val="21"/>
              </w:rPr>
            </w:pPr>
            <w:r>
              <w:rPr>
                <w:rFonts w:hint="eastAsia" w:ascii="仿宋" w:hAnsi="仿宋" w:eastAsia="仿宋"/>
                <w:b/>
                <w:bCs/>
                <w:szCs w:val="21"/>
              </w:rPr>
              <w:t>认购对象名称</w:t>
            </w:r>
          </w:p>
        </w:tc>
        <w:tc>
          <w:tcPr>
            <w:tcW w:w="1592" w:type="dxa"/>
            <w:shd w:val="clear" w:color="auto" w:fill="DCE6F2"/>
            <w:noWrap/>
            <w:tcMar>
              <w:left w:w="57" w:type="dxa"/>
              <w:right w:w="57" w:type="dxa"/>
            </w:tcMar>
            <w:vAlign w:val="center"/>
          </w:tcPr>
          <w:p>
            <w:pPr>
              <w:jc w:val="center"/>
              <w:rPr>
                <w:b/>
                <w:bCs/>
                <w:szCs w:val="21"/>
              </w:rPr>
            </w:pPr>
            <w:r>
              <w:rPr>
                <w:rFonts w:hint="eastAsia" w:ascii="仿宋" w:hAnsi="仿宋" w:eastAsia="仿宋"/>
                <w:b/>
                <w:bCs/>
                <w:szCs w:val="21"/>
              </w:rPr>
              <w:t>认购股数（股）</w:t>
            </w:r>
          </w:p>
        </w:tc>
        <w:tc>
          <w:tcPr>
            <w:tcW w:w="1861" w:type="dxa"/>
            <w:shd w:val="clear" w:color="auto" w:fill="DCE6F2"/>
            <w:noWrap/>
            <w:tcMar>
              <w:left w:w="57" w:type="dxa"/>
              <w:right w:w="57" w:type="dxa"/>
            </w:tcMar>
            <w:vAlign w:val="center"/>
          </w:tcPr>
          <w:p>
            <w:pPr>
              <w:jc w:val="center"/>
              <w:rPr>
                <w:b/>
                <w:bCs/>
                <w:szCs w:val="21"/>
              </w:rPr>
            </w:pPr>
            <w:r>
              <w:rPr>
                <w:rFonts w:hint="eastAsia" w:ascii="仿宋" w:hAnsi="仿宋" w:eastAsia="仿宋"/>
                <w:b/>
                <w:bCs/>
                <w:szCs w:val="21"/>
              </w:rPr>
              <w:t>认购金额（元）</w:t>
            </w:r>
          </w:p>
        </w:tc>
        <w:tc>
          <w:tcPr>
            <w:tcW w:w="901" w:type="dxa"/>
            <w:shd w:val="clear" w:color="auto" w:fill="DCE6F2"/>
            <w:tcMar>
              <w:left w:w="57" w:type="dxa"/>
              <w:right w:w="57" w:type="dxa"/>
            </w:tcMar>
            <w:vAlign w:val="center"/>
          </w:tcPr>
          <w:p>
            <w:pPr>
              <w:jc w:val="center"/>
              <w:rPr>
                <w:b/>
                <w:bCs/>
                <w:szCs w:val="21"/>
              </w:rPr>
            </w:pPr>
            <w:r>
              <w:rPr>
                <w:rFonts w:hint="eastAsia" w:ascii="仿宋" w:hAnsi="仿宋" w:eastAsia="仿宋"/>
                <w:b/>
                <w:bCs/>
                <w:szCs w:val="21"/>
              </w:rPr>
              <w:t>限售期（月）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国家电投集团吉林能源投资有限公司</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309,877,699</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1,078,374,392.52</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36个月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2</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国家电投集团财务有限公司</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34,482,758</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119,999,997.84</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36个月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3</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吉林省投资集团有限公司</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57,600,000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200,448,000.00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4</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济南文景投资合伙企业（有限合伙）</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54,490,000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189,625,200.00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国泰君安证券股份有限公司</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34,190,000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118,981,200.00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申万宏源证券有限公司</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27,500,000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95,700,000.00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7</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嘉实基金管理有限公司</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17,000,000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59,160,000.00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8</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南方天辰（北京）投资管理有限公司</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16,500,000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57,420,000.00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9</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财通基金管理有限公司</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14,600,000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50,808,000.00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10</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陈乙超</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14,500,000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50,460,000.00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11</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华泰证券（上海）资产管理有限公司</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14,450,000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50,286,000.00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12</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华民科创（青岛）产业基金合伙企业（有限合伙）</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14,420,000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50,181,600.00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13</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新疆特变电工集团有限公司</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14,400,000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50,112,000.00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14</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中信建投证券股份有限公司</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14,400,000</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50,112,000.00</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624"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15</w:t>
            </w:r>
          </w:p>
        </w:tc>
        <w:tc>
          <w:tcPr>
            <w:tcW w:w="3544" w:type="dxa"/>
            <w:noWrap/>
            <w:tcMar>
              <w:left w:w="57" w:type="dxa"/>
              <w:right w:w="57" w:type="dxa"/>
            </w:tcMar>
            <w:vAlign w:val="center"/>
          </w:tcPr>
          <w:p>
            <w:pPr>
              <w:rPr>
                <w:rFonts w:ascii="仿宋" w:hAnsi="仿宋" w:eastAsia="仿宋" w:cs="仿宋"/>
                <w:szCs w:val="21"/>
              </w:rPr>
            </w:pPr>
            <w:r>
              <w:rPr>
                <w:rFonts w:hint="eastAsia" w:ascii="仿宋" w:hAnsi="仿宋" w:eastAsia="仿宋" w:cs="仿宋"/>
                <w:szCs w:val="21"/>
              </w:rPr>
              <w:t>泰康资产管理有限责任公司-泰康人寿保险有限责任公司分红型保险产品</w:t>
            </w:r>
          </w:p>
        </w:tc>
        <w:tc>
          <w:tcPr>
            <w:tcW w:w="1592"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5,483,737</w:t>
            </w:r>
          </w:p>
        </w:tc>
        <w:tc>
          <w:tcPr>
            <w:tcW w:w="1861" w:type="dxa"/>
            <w:noWrap/>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19,083,404.76</w:t>
            </w:r>
          </w:p>
        </w:tc>
        <w:tc>
          <w:tcPr>
            <w:tcW w:w="901" w:type="dxa"/>
            <w:tcMar>
              <w:left w:w="57" w:type="dxa"/>
              <w:right w:w="57" w:type="dxa"/>
            </w:tcMar>
            <w:vAlign w:val="center"/>
          </w:tcPr>
          <w:p>
            <w:pPr>
              <w:jc w:val="center"/>
              <w:rPr>
                <w:rFonts w:ascii="仿宋" w:hAnsi="仿宋" w:eastAsia="仿宋" w:cs="仿宋"/>
                <w:szCs w:val="21"/>
              </w:rPr>
            </w:pPr>
            <w:r>
              <w:rPr>
                <w:rFonts w:hint="eastAsia" w:ascii="仿宋" w:hAnsi="仿宋" w:eastAsia="仿宋" w:cs="仿宋"/>
                <w:szCs w:val="21"/>
              </w:rPr>
              <w:t>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168" w:type="dxa"/>
            <w:gridSpan w:val="2"/>
            <w:tcMar>
              <w:left w:w="57" w:type="dxa"/>
              <w:right w:w="57" w:type="dxa"/>
            </w:tcMar>
            <w:vAlign w:val="center"/>
          </w:tcPr>
          <w:p>
            <w:pPr>
              <w:jc w:val="center"/>
              <w:rPr>
                <w:rFonts w:ascii="仿宋" w:hAnsi="仿宋" w:eastAsia="仿宋" w:cs="仿宋"/>
                <w:b/>
                <w:szCs w:val="21"/>
              </w:rPr>
            </w:pPr>
            <w:r>
              <w:rPr>
                <w:rFonts w:hint="eastAsia" w:ascii="仿宋" w:hAnsi="仿宋" w:eastAsia="仿宋" w:cs="仿宋"/>
                <w:b/>
                <w:szCs w:val="21"/>
              </w:rPr>
              <w:t>合计</w:t>
            </w:r>
          </w:p>
        </w:tc>
        <w:tc>
          <w:tcPr>
            <w:tcW w:w="1592" w:type="dxa"/>
            <w:tcMar>
              <w:left w:w="57" w:type="dxa"/>
              <w:right w:w="57" w:type="dxa"/>
            </w:tcMar>
            <w:vAlign w:val="center"/>
          </w:tcPr>
          <w:p>
            <w:pPr>
              <w:jc w:val="center"/>
              <w:rPr>
                <w:rFonts w:ascii="仿宋" w:hAnsi="仿宋" w:eastAsia="仿宋" w:cs="仿宋"/>
                <w:b/>
                <w:szCs w:val="21"/>
              </w:rPr>
            </w:pPr>
            <w:r>
              <w:rPr>
                <w:rFonts w:hint="eastAsia" w:ascii="仿宋" w:hAnsi="仿宋" w:eastAsia="仿宋" w:cs="仿宋"/>
                <w:b/>
                <w:szCs w:val="21"/>
              </w:rPr>
              <w:t>643,894,194</w:t>
            </w:r>
          </w:p>
        </w:tc>
        <w:tc>
          <w:tcPr>
            <w:tcW w:w="1861" w:type="dxa"/>
            <w:tcMar>
              <w:left w:w="57" w:type="dxa"/>
              <w:right w:w="57" w:type="dxa"/>
            </w:tcMar>
            <w:vAlign w:val="center"/>
          </w:tcPr>
          <w:p>
            <w:pPr>
              <w:jc w:val="center"/>
              <w:rPr>
                <w:rFonts w:ascii="仿宋" w:hAnsi="仿宋" w:eastAsia="仿宋" w:cs="仿宋"/>
                <w:b/>
                <w:szCs w:val="21"/>
              </w:rPr>
            </w:pPr>
            <w:r>
              <w:rPr>
                <w:rFonts w:hint="eastAsia" w:ascii="仿宋" w:hAnsi="仿宋" w:eastAsia="仿宋" w:cs="仿宋"/>
                <w:b/>
                <w:szCs w:val="21"/>
              </w:rPr>
              <w:t>2,240,751,795.12</w:t>
            </w:r>
          </w:p>
        </w:tc>
        <w:tc>
          <w:tcPr>
            <w:tcW w:w="901" w:type="dxa"/>
            <w:tcMar>
              <w:left w:w="57" w:type="dxa"/>
              <w:right w:w="57" w:type="dxa"/>
            </w:tcMar>
            <w:vAlign w:val="center"/>
          </w:tcPr>
          <w:p>
            <w:pPr>
              <w:jc w:val="center"/>
              <w:rPr>
                <w:rFonts w:ascii="仿宋" w:hAnsi="仿宋" w:eastAsia="仿宋" w:cs="仿宋"/>
                <w:b/>
                <w:szCs w:val="21"/>
              </w:rPr>
            </w:pPr>
            <w:r>
              <w:rPr>
                <w:rFonts w:hint="eastAsia" w:ascii="仿宋" w:hAnsi="仿宋" w:eastAsia="仿宋" w:cs="仿宋"/>
                <w:b/>
                <w:szCs w:val="21"/>
              </w:rPr>
              <w:t>/</w:t>
            </w:r>
          </w:p>
        </w:tc>
      </w:tr>
    </w:tbl>
    <w:p>
      <w:pPr>
        <w:spacing w:before="156" w:beforeLines="50" w:line="360" w:lineRule="auto"/>
        <w:ind w:firstLine="568" w:firstLineChars="202"/>
        <w:rPr>
          <w:rFonts w:eastAsia="仿宋"/>
          <w:b/>
          <w:sz w:val="28"/>
          <w:szCs w:val="28"/>
          <w:highlight w:val="none"/>
        </w:rPr>
      </w:pPr>
      <w:r>
        <w:rPr>
          <w:rFonts w:hAnsi="仿宋" w:eastAsia="仿宋"/>
          <w:b/>
          <w:sz w:val="28"/>
          <w:szCs w:val="28"/>
          <w:highlight w:val="none"/>
        </w:rPr>
        <w:t>二、本次限售股份上市流通的相关承诺及其履行情况</w:t>
      </w:r>
    </w:p>
    <w:p>
      <w:pPr>
        <w:ind w:left="0" w:firstLine="560" w:firstLineChars="200"/>
        <w:rPr>
          <w:rFonts w:hAnsi="仿宋" w:eastAsia="仿宋"/>
          <w:sz w:val="28"/>
          <w:szCs w:val="28"/>
          <w:highlight w:val="none"/>
        </w:rPr>
      </w:pPr>
      <w:r>
        <w:rPr>
          <w:rFonts w:hAnsi="仿宋" w:eastAsia="仿宋"/>
          <w:sz w:val="28"/>
          <w:szCs w:val="28"/>
          <w:highlight w:val="none"/>
        </w:rPr>
        <w:t>本次非公开发行的发行对象</w:t>
      </w:r>
      <w:r>
        <w:rPr>
          <w:rFonts w:hint="eastAsia" w:hAnsi="仿宋" w:eastAsia="仿宋"/>
          <w:sz w:val="28"/>
          <w:szCs w:val="28"/>
          <w:highlight w:val="none"/>
        </w:rPr>
        <w:t>国家电投集团吉林能源投资有限公司</w:t>
      </w:r>
      <w:r>
        <w:rPr>
          <w:rFonts w:hint="eastAsia" w:hAnsi="仿宋" w:eastAsia="仿宋"/>
          <w:sz w:val="28"/>
          <w:szCs w:val="28"/>
          <w:highlight w:val="none"/>
          <w:lang w:val="en-US" w:eastAsia="zh-CN"/>
        </w:rPr>
        <w:t>和国家电投集团财务有限公司</w:t>
      </w:r>
      <w:r>
        <w:rPr>
          <w:rFonts w:hAnsi="仿宋" w:eastAsia="仿宋"/>
          <w:sz w:val="28"/>
          <w:szCs w:val="28"/>
          <w:highlight w:val="none"/>
        </w:rPr>
        <w:t>承诺：</w:t>
      </w:r>
      <w:r>
        <w:rPr>
          <w:rFonts w:hint="eastAsia" w:hAnsi="仿宋" w:eastAsia="仿宋"/>
          <w:sz w:val="28"/>
          <w:szCs w:val="28"/>
          <w:highlight w:val="none"/>
        </w:rPr>
        <w:t>本次非公开发行股票发行</w:t>
      </w:r>
      <w:r>
        <w:rPr>
          <w:rFonts w:hAnsi="仿宋" w:eastAsia="仿宋"/>
          <w:sz w:val="28"/>
          <w:szCs w:val="28"/>
          <w:highlight w:val="none"/>
        </w:rPr>
        <w:t>结束之日（即新增股份上市首日）起</w:t>
      </w:r>
      <w:r>
        <w:rPr>
          <w:rFonts w:hint="eastAsia" w:hAnsi="仿宋" w:eastAsia="仿宋"/>
          <w:sz w:val="28"/>
          <w:szCs w:val="28"/>
          <w:highlight w:val="none"/>
          <w:lang w:val="en-US" w:eastAsia="zh-CN"/>
        </w:rPr>
        <w:t>三十六</w:t>
      </w:r>
      <w:r>
        <w:rPr>
          <w:rFonts w:hAnsi="仿宋" w:eastAsia="仿宋"/>
          <w:sz w:val="28"/>
          <w:szCs w:val="28"/>
          <w:highlight w:val="none"/>
        </w:rPr>
        <w:t>个月内</w:t>
      </w:r>
      <w:r>
        <w:rPr>
          <w:rFonts w:hint="eastAsia" w:hAnsi="仿宋" w:eastAsia="仿宋"/>
          <w:sz w:val="28"/>
          <w:szCs w:val="28"/>
          <w:highlight w:val="none"/>
        </w:rPr>
        <w:t>不转让或者委托他人管理本次认购的吉电股份股票，也不由吉电股份回购该部分股份</w:t>
      </w:r>
      <w:r>
        <w:rPr>
          <w:rFonts w:hAnsi="仿宋" w:eastAsia="仿宋"/>
          <w:sz w:val="28"/>
          <w:szCs w:val="28"/>
          <w:highlight w:val="none"/>
        </w:rPr>
        <w:t>。</w:t>
      </w:r>
    </w:p>
    <w:p>
      <w:pPr>
        <w:ind w:left="0" w:firstLine="560" w:firstLineChars="200"/>
        <w:rPr>
          <w:rFonts w:hint="eastAsia" w:ascii="Times New Roman" w:hAnsi="仿宋" w:eastAsia="仿宋" w:cs="Times New Roman"/>
          <w:sz w:val="28"/>
          <w:szCs w:val="28"/>
          <w:highlight w:val="none"/>
        </w:rPr>
      </w:pPr>
      <w:r>
        <w:rPr>
          <w:rFonts w:hint="eastAsia" w:ascii="Times New Roman" w:hAnsi="仿宋" w:eastAsia="仿宋" w:cs="Times New Roman"/>
          <w:sz w:val="28"/>
          <w:szCs w:val="28"/>
          <w:highlight w:val="none"/>
        </w:rPr>
        <w:t>截至本公告披露日，公司上述股东未出现违反前述承诺的情形。</w:t>
      </w:r>
    </w:p>
    <w:p>
      <w:pPr>
        <w:spacing w:before="156" w:beforeLines="50" w:line="360" w:lineRule="auto"/>
        <w:ind w:firstLine="568" w:firstLineChars="202"/>
        <w:rPr>
          <w:rFonts w:eastAsia="仿宋"/>
          <w:b/>
          <w:sz w:val="28"/>
          <w:szCs w:val="28"/>
        </w:rPr>
      </w:pPr>
      <w:bookmarkStart w:id="0" w:name="_GoBack"/>
      <w:bookmarkEnd w:id="0"/>
      <w:r>
        <w:rPr>
          <w:rFonts w:hAnsi="仿宋" w:eastAsia="仿宋"/>
          <w:b/>
          <w:sz w:val="28"/>
          <w:szCs w:val="28"/>
        </w:rPr>
        <w:t>三、本次解除限售股份的上市流通安排</w:t>
      </w:r>
    </w:p>
    <w:p>
      <w:pPr>
        <w:spacing w:line="360" w:lineRule="auto"/>
        <w:ind w:firstLine="565" w:firstLineChars="202"/>
        <w:rPr>
          <w:rFonts w:eastAsia="仿宋"/>
          <w:sz w:val="28"/>
          <w:szCs w:val="28"/>
        </w:rPr>
      </w:pPr>
      <w:r>
        <w:rPr>
          <w:rFonts w:eastAsia="仿宋"/>
          <w:sz w:val="28"/>
          <w:szCs w:val="28"/>
        </w:rPr>
        <w:t>1</w:t>
      </w:r>
      <w:r>
        <w:rPr>
          <w:rFonts w:hAnsi="仿宋" w:eastAsia="仿宋"/>
          <w:sz w:val="28"/>
          <w:szCs w:val="28"/>
        </w:rPr>
        <w:t>、本次限售条件的流通股上市数量为</w:t>
      </w:r>
      <w:r>
        <w:rPr>
          <w:rFonts w:hint="eastAsia" w:ascii="仿宋" w:hAnsi="仿宋" w:eastAsia="仿宋" w:cs="仿宋"/>
          <w:sz w:val="28"/>
          <w:szCs w:val="28"/>
        </w:rPr>
        <w:t>344,360,457</w:t>
      </w:r>
      <w:r>
        <w:rPr>
          <w:rFonts w:hAnsi="仿宋" w:eastAsia="仿宋"/>
          <w:sz w:val="28"/>
          <w:szCs w:val="28"/>
        </w:rPr>
        <w:t>股，占公司总股本比例为</w:t>
      </w:r>
      <w:r>
        <w:rPr>
          <w:rFonts w:hint="eastAsia" w:ascii="仿宋" w:hAnsi="仿宋" w:eastAsia="仿宋" w:cs="仿宋"/>
          <w:sz w:val="28"/>
          <w:szCs w:val="28"/>
        </w:rPr>
        <w:t>12.34</w:t>
      </w:r>
      <w:r>
        <w:rPr>
          <w:rFonts w:hint="eastAsia" w:ascii="仿宋" w:hAnsi="仿宋" w:eastAsia="仿宋" w:cs="仿宋"/>
          <w:sz w:val="28"/>
          <w:szCs w:val="28"/>
          <w:lang w:val="en-US" w:eastAsia="zh-CN"/>
        </w:rPr>
        <w:t>17</w:t>
      </w:r>
      <w:r>
        <w:rPr>
          <w:rFonts w:eastAsia="仿宋"/>
          <w:sz w:val="28"/>
          <w:szCs w:val="28"/>
        </w:rPr>
        <w:t>%</w:t>
      </w:r>
      <w:r>
        <w:rPr>
          <w:rFonts w:hAnsi="仿宋" w:eastAsia="仿宋"/>
          <w:sz w:val="28"/>
          <w:szCs w:val="28"/>
        </w:rPr>
        <w:t>；</w:t>
      </w:r>
    </w:p>
    <w:p>
      <w:pPr>
        <w:spacing w:line="360" w:lineRule="auto"/>
        <w:ind w:firstLine="565" w:firstLineChars="202"/>
        <w:rPr>
          <w:rFonts w:eastAsia="仿宋"/>
          <w:sz w:val="28"/>
          <w:szCs w:val="28"/>
        </w:rPr>
      </w:pPr>
      <w:r>
        <w:rPr>
          <w:rFonts w:eastAsia="仿宋"/>
          <w:sz w:val="28"/>
          <w:szCs w:val="28"/>
        </w:rPr>
        <w:t>2</w:t>
      </w:r>
      <w:r>
        <w:rPr>
          <w:rFonts w:hAnsi="仿宋" w:eastAsia="仿宋"/>
          <w:sz w:val="28"/>
          <w:szCs w:val="28"/>
        </w:rPr>
        <w:t>、本次</w:t>
      </w:r>
      <w:r>
        <w:rPr>
          <w:rFonts w:hint="eastAsia" w:hAnsi="仿宋" w:eastAsia="仿宋"/>
          <w:sz w:val="28"/>
          <w:szCs w:val="28"/>
        </w:rPr>
        <w:t>解除</w:t>
      </w:r>
      <w:r>
        <w:rPr>
          <w:rFonts w:hAnsi="仿宋" w:eastAsia="仿宋"/>
          <w:sz w:val="28"/>
          <w:szCs w:val="28"/>
        </w:rPr>
        <w:t>限售条件的流通股上市流通日为</w:t>
      </w:r>
      <w:r>
        <w:rPr>
          <w:rFonts w:hint="eastAsia" w:ascii="仿宋" w:hAnsi="仿宋" w:eastAsia="仿宋" w:cs="仿宋"/>
          <w:sz w:val="28"/>
          <w:szCs w:val="28"/>
        </w:rPr>
        <w:t>2024年4月15日；</w:t>
      </w:r>
    </w:p>
    <w:p>
      <w:pPr>
        <w:spacing w:line="360" w:lineRule="auto"/>
        <w:ind w:firstLine="565" w:firstLineChars="202"/>
        <w:rPr>
          <w:rFonts w:hAnsi="仿宋" w:eastAsia="仿宋"/>
          <w:sz w:val="28"/>
          <w:szCs w:val="28"/>
        </w:rPr>
      </w:pPr>
      <w:r>
        <w:rPr>
          <w:rFonts w:eastAsia="仿宋"/>
          <w:sz w:val="28"/>
          <w:szCs w:val="28"/>
        </w:rPr>
        <w:t>3</w:t>
      </w:r>
      <w:r>
        <w:rPr>
          <w:rFonts w:hAnsi="仿宋" w:eastAsia="仿宋"/>
          <w:sz w:val="28"/>
          <w:szCs w:val="28"/>
        </w:rPr>
        <w:t>、本次解除限售股份的上市流通具体情况如下：</w:t>
      </w:r>
    </w:p>
    <w:tbl>
      <w:tblPr>
        <w:tblStyle w:val="8"/>
        <w:tblW w:w="96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9"/>
        <w:gridCol w:w="3232"/>
        <w:gridCol w:w="1306"/>
        <w:gridCol w:w="1293"/>
        <w:gridCol w:w="1683"/>
        <w:gridCol w:w="1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39" w:type="dxa"/>
            <w:vAlign w:val="center"/>
          </w:tcPr>
          <w:p>
            <w:pPr>
              <w:widowControl/>
              <w:jc w:val="center"/>
              <w:rPr>
                <w:rFonts w:eastAsia="仿宋"/>
                <w:b/>
                <w:bCs/>
                <w:color w:val="000000"/>
                <w:kern w:val="0"/>
                <w:szCs w:val="21"/>
              </w:rPr>
            </w:pPr>
            <w:r>
              <w:rPr>
                <w:rFonts w:hAnsi="仿宋" w:eastAsia="仿宋"/>
                <w:b/>
                <w:bCs/>
                <w:color w:val="000000"/>
                <w:kern w:val="0"/>
                <w:szCs w:val="21"/>
              </w:rPr>
              <w:t>序号</w:t>
            </w:r>
          </w:p>
        </w:tc>
        <w:tc>
          <w:tcPr>
            <w:tcW w:w="3232" w:type="dxa"/>
            <w:vAlign w:val="center"/>
          </w:tcPr>
          <w:p>
            <w:pPr>
              <w:widowControl/>
              <w:jc w:val="center"/>
              <w:rPr>
                <w:rFonts w:eastAsia="仿宋"/>
                <w:b/>
                <w:bCs/>
                <w:color w:val="000000"/>
                <w:kern w:val="0"/>
                <w:szCs w:val="21"/>
              </w:rPr>
            </w:pPr>
            <w:r>
              <w:rPr>
                <w:rFonts w:hAnsi="仿宋" w:eastAsia="仿宋"/>
                <w:b/>
                <w:bCs/>
                <w:color w:val="000000"/>
                <w:kern w:val="0"/>
                <w:szCs w:val="21"/>
              </w:rPr>
              <w:t>股东名称</w:t>
            </w:r>
          </w:p>
        </w:tc>
        <w:tc>
          <w:tcPr>
            <w:tcW w:w="1306" w:type="dxa"/>
            <w:vAlign w:val="center"/>
          </w:tcPr>
          <w:p>
            <w:pPr>
              <w:widowControl/>
              <w:jc w:val="center"/>
              <w:rPr>
                <w:rFonts w:eastAsia="仿宋"/>
                <w:b/>
                <w:bCs/>
                <w:color w:val="000000"/>
                <w:kern w:val="0"/>
                <w:szCs w:val="21"/>
              </w:rPr>
            </w:pPr>
            <w:r>
              <w:rPr>
                <w:rFonts w:hAnsi="仿宋" w:eastAsia="仿宋"/>
                <w:b/>
                <w:bCs/>
                <w:color w:val="000000"/>
                <w:kern w:val="0"/>
                <w:szCs w:val="21"/>
              </w:rPr>
              <w:t>持有限售股数量（股）</w:t>
            </w:r>
          </w:p>
        </w:tc>
        <w:tc>
          <w:tcPr>
            <w:tcW w:w="1293" w:type="dxa"/>
            <w:vAlign w:val="center"/>
          </w:tcPr>
          <w:p>
            <w:pPr>
              <w:widowControl/>
              <w:jc w:val="center"/>
              <w:rPr>
                <w:rFonts w:eastAsia="仿宋"/>
                <w:b/>
                <w:bCs/>
                <w:color w:val="000000"/>
                <w:kern w:val="0"/>
                <w:szCs w:val="21"/>
              </w:rPr>
            </w:pPr>
            <w:r>
              <w:rPr>
                <w:rFonts w:hAnsi="仿宋" w:eastAsia="仿宋"/>
                <w:b/>
                <w:bCs/>
                <w:color w:val="000000"/>
                <w:kern w:val="0"/>
                <w:szCs w:val="21"/>
              </w:rPr>
              <w:t>本次上市流通数量（股）</w:t>
            </w:r>
          </w:p>
        </w:tc>
        <w:tc>
          <w:tcPr>
            <w:tcW w:w="1683" w:type="dxa"/>
            <w:vAlign w:val="center"/>
          </w:tcPr>
          <w:p>
            <w:pPr>
              <w:widowControl/>
              <w:jc w:val="center"/>
            </w:pPr>
            <w:r>
              <w:rPr>
                <w:rFonts w:hint="eastAsia" w:hAnsi="仿宋" w:eastAsia="仿宋"/>
                <w:b/>
                <w:bCs/>
                <w:color w:val="000000"/>
                <w:kern w:val="0"/>
                <w:szCs w:val="21"/>
              </w:rPr>
              <w:t>本次解除</w:t>
            </w:r>
            <w:r>
              <w:rPr>
                <w:rFonts w:hAnsi="仿宋" w:eastAsia="仿宋"/>
                <w:b/>
                <w:bCs/>
                <w:color w:val="000000"/>
                <w:kern w:val="0"/>
                <w:szCs w:val="21"/>
              </w:rPr>
              <w:t>限售股占公司</w:t>
            </w:r>
            <w:r>
              <w:rPr>
                <w:rFonts w:hint="eastAsia" w:hAnsi="仿宋" w:eastAsia="仿宋"/>
                <w:b/>
                <w:bCs/>
                <w:color w:val="000000"/>
                <w:kern w:val="0"/>
                <w:szCs w:val="21"/>
              </w:rPr>
              <w:t>无限售条件流通股的</w:t>
            </w:r>
            <w:r>
              <w:rPr>
                <w:rFonts w:hAnsi="仿宋" w:eastAsia="仿宋"/>
                <w:b/>
                <w:bCs/>
                <w:color w:val="000000"/>
                <w:kern w:val="0"/>
                <w:szCs w:val="21"/>
              </w:rPr>
              <w:t>比例（</w:t>
            </w:r>
            <w:r>
              <w:rPr>
                <w:rFonts w:eastAsia="仿宋"/>
                <w:b/>
                <w:bCs/>
                <w:color w:val="000000"/>
                <w:kern w:val="0"/>
                <w:szCs w:val="21"/>
              </w:rPr>
              <w:t>%</w:t>
            </w:r>
            <w:r>
              <w:rPr>
                <w:rFonts w:hAnsi="仿宋" w:eastAsia="仿宋"/>
                <w:b/>
                <w:bCs/>
                <w:color w:val="000000"/>
                <w:kern w:val="0"/>
                <w:szCs w:val="21"/>
              </w:rPr>
              <w:t>）</w:t>
            </w:r>
          </w:p>
        </w:tc>
        <w:tc>
          <w:tcPr>
            <w:tcW w:w="1524" w:type="dxa"/>
            <w:vAlign w:val="center"/>
          </w:tcPr>
          <w:p>
            <w:pPr>
              <w:widowControl/>
              <w:jc w:val="center"/>
            </w:pPr>
            <w:r>
              <w:rPr>
                <w:rFonts w:hAnsi="仿宋" w:eastAsia="仿宋"/>
                <w:b/>
                <w:bCs/>
                <w:color w:val="000000"/>
                <w:kern w:val="0"/>
                <w:szCs w:val="21"/>
              </w:rPr>
              <w:t>本次解除限售股份占总股本比例（</w:t>
            </w:r>
            <w:r>
              <w:rPr>
                <w:rFonts w:eastAsia="仿宋"/>
                <w:b/>
                <w:bCs/>
                <w:color w:val="000000"/>
                <w:kern w:val="0"/>
                <w:szCs w:val="21"/>
              </w:rPr>
              <w:t>%</w:t>
            </w:r>
            <w:r>
              <w:rPr>
                <w:rFonts w:hAnsi="仿宋" w:eastAsia="仿宋"/>
                <w:b/>
                <w:bCs/>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39" w:type="dxa"/>
            <w:vAlign w:val="center"/>
          </w:tcPr>
          <w:p>
            <w:pPr>
              <w:widowControl/>
              <w:jc w:val="center"/>
              <w:rPr>
                <w:rFonts w:eastAsia="仿宋"/>
                <w:color w:val="000000"/>
                <w:kern w:val="0"/>
                <w:szCs w:val="21"/>
              </w:rPr>
            </w:pPr>
            <w:r>
              <w:rPr>
                <w:rFonts w:hint="eastAsia" w:eastAsia="仿宋"/>
                <w:color w:val="000000"/>
                <w:kern w:val="0"/>
                <w:szCs w:val="21"/>
              </w:rPr>
              <w:t>1</w:t>
            </w:r>
          </w:p>
        </w:tc>
        <w:tc>
          <w:tcPr>
            <w:tcW w:w="3232" w:type="dxa"/>
            <w:vAlign w:val="center"/>
          </w:tcPr>
          <w:p>
            <w:pPr>
              <w:rPr>
                <w:rFonts w:eastAsia="仿宋"/>
                <w:color w:val="000000"/>
                <w:kern w:val="0"/>
                <w:szCs w:val="21"/>
              </w:rPr>
            </w:pPr>
            <w:r>
              <w:rPr>
                <w:rFonts w:hint="eastAsia" w:ascii="仿宋" w:hAnsi="仿宋" w:eastAsia="仿宋" w:cs="仿宋"/>
                <w:szCs w:val="21"/>
              </w:rPr>
              <w:t>国家电投集团吉林能源投资有限公司</w:t>
            </w:r>
          </w:p>
        </w:tc>
        <w:tc>
          <w:tcPr>
            <w:tcW w:w="1306" w:type="dxa"/>
            <w:vAlign w:val="center"/>
          </w:tcPr>
          <w:p>
            <w:pPr>
              <w:widowControl/>
              <w:jc w:val="center"/>
              <w:rPr>
                <w:rFonts w:eastAsia="仿宋"/>
                <w:color w:val="000000"/>
                <w:kern w:val="0"/>
                <w:szCs w:val="21"/>
              </w:rPr>
            </w:pPr>
            <w:r>
              <w:rPr>
                <w:rFonts w:hint="eastAsia" w:eastAsia="仿宋"/>
                <w:color w:val="000000"/>
                <w:kern w:val="0"/>
                <w:szCs w:val="21"/>
              </w:rPr>
              <w:t>309,877,699</w:t>
            </w:r>
          </w:p>
        </w:tc>
        <w:tc>
          <w:tcPr>
            <w:tcW w:w="1293" w:type="dxa"/>
            <w:vAlign w:val="center"/>
          </w:tcPr>
          <w:p>
            <w:pPr>
              <w:widowControl/>
              <w:jc w:val="center"/>
              <w:rPr>
                <w:rFonts w:eastAsia="仿宋"/>
                <w:color w:val="000000"/>
                <w:kern w:val="0"/>
                <w:szCs w:val="21"/>
              </w:rPr>
            </w:pPr>
            <w:r>
              <w:rPr>
                <w:rFonts w:hint="eastAsia" w:eastAsia="仿宋"/>
                <w:color w:val="000000"/>
                <w:kern w:val="0"/>
                <w:szCs w:val="21"/>
              </w:rPr>
              <w:t>309,877,699</w:t>
            </w:r>
          </w:p>
        </w:tc>
        <w:tc>
          <w:tcPr>
            <w:tcW w:w="1683" w:type="dxa"/>
            <w:vAlign w:val="center"/>
          </w:tcPr>
          <w:p>
            <w:pPr>
              <w:widowControl/>
              <w:jc w:val="center"/>
              <w:rPr>
                <w:rFonts w:hint="default" w:eastAsia="仿宋"/>
                <w:lang w:val="en-US" w:eastAsia="zh-CN"/>
              </w:rPr>
            </w:pPr>
            <w:r>
              <w:rPr>
                <w:rFonts w:hint="eastAsia" w:eastAsia="仿宋"/>
                <w:color w:val="000000"/>
                <w:kern w:val="0"/>
                <w:szCs w:val="21"/>
                <w:lang w:bidi="ar"/>
              </w:rPr>
              <w:t>12.67</w:t>
            </w:r>
            <w:r>
              <w:rPr>
                <w:rFonts w:hint="eastAsia" w:eastAsia="仿宋"/>
                <w:color w:val="000000"/>
                <w:kern w:val="0"/>
                <w:szCs w:val="21"/>
                <w:lang w:val="en-US" w:eastAsia="zh-CN" w:bidi="ar"/>
              </w:rPr>
              <w:t>08</w:t>
            </w:r>
          </w:p>
        </w:tc>
        <w:tc>
          <w:tcPr>
            <w:tcW w:w="1524" w:type="dxa"/>
            <w:vAlign w:val="center"/>
          </w:tcPr>
          <w:p>
            <w:pPr>
              <w:widowControl/>
              <w:jc w:val="center"/>
              <w:rPr>
                <w:rFonts w:hint="default" w:eastAsia="仿宋"/>
                <w:lang w:val="en-US" w:eastAsia="zh-CN"/>
              </w:rPr>
            </w:pPr>
            <w:r>
              <w:rPr>
                <w:rFonts w:hint="eastAsia" w:eastAsia="仿宋"/>
                <w:color w:val="000000"/>
                <w:kern w:val="0"/>
                <w:szCs w:val="21"/>
              </w:rPr>
              <w:t>11.1</w:t>
            </w:r>
            <w:r>
              <w:rPr>
                <w:rFonts w:hint="eastAsia" w:eastAsia="仿宋"/>
                <w:color w:val="000000"/>
                <w:kern w:val="0"/>
                <w:szCs w:val="21"/>
                <w:lang w:val="en-US" w:eastAsia="zh-CN"/>
              </w:rPr>
              <w:t>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39" w:type="dxa"/>
            <w:vAlign w:val="center"/>
          </w:tcPr>
          <w:p>
            <w:pPr>
              <w:widowControl/>
              <w:jc w:val="center"/>
              <w:rPr>
                <w:rFonts w:eastAsia="仿宋"/>
                <w:color w:val="000000"/>
                <w:kern w:val="0"/>
                <w:szCs w:val="21"/>
              </w:rPr>
            </w:pPr>
            <w:r>
              <w:rPr>
                <w:rFonts w:eastAsia="仿宋"/>
                <w:color w:val="000000"/>
                <w:kern w:val="0"/>
                <w:szCs w:val="21"/>
              </w:rPr>
              <w:t>2</w:t>
            </w:r>
          </w:p>
        </w:tc>
        <w:tc>
          <w:tcPr>
            <w:tcW w:w="3232" w:type="dxa"/>
            <w:vAlign w:val="center"/>
          </w:tcPr>
          <w:p>
            <w:pPr>
              <w:rPr>
                <w:rFonts w:ascii="仿宋" w:hAnsi="仿宋" w:eastAsia="仿宋" w:cs="仿宋"/>
                <w:color w:val="000000"/>
                <w:kern w:val="0"/>
                <w:szCs w:val="21"/>
              </w:rPr>
            </w:pPr>
            <w:r>
              <w:rPr>
                <w:rFonts w:hint="eastAsia" w:ascii="仿宋" w:hAnsi="仿宋" w:eastAsia="仿宋" w:cs="仿宋"/>
                <w:szCs w:val="21"/>
              </w:rPr>
              <w:t>国家电投集团财务有限公司</w:t>
            </w:r>
          </w:p>
        </w:tc>
        <w:tc>
          <w:tcPr>
            <w:tcW w:w="1306" w:type="dxa"/>
            <w:vAlign w:val="center"/>
          </w:tcPr>
          <w:p>
            <w:pPr>
              <w:widowControl/>
              <w:jc w:val="center"/>
              <w:rPr>
                <w:rFonts w:eastAsia="仿宋"/>
                <w:color w:val="000000"/>
                <w:kern w:val="0"/>
                <w:szCs w:val="21"/>
              </w:rPr>
            </w:pPr>
            <w:r>
              <w:rPr>
                <w:rFonts w:hint="eastAsia" w:eastAsia="仿宋"/>
                <w:color w:val="000000"/>
                <w:kern w:val="0"/>
                <w:szCs w:val="21"/>
              </w:rPr>
              <w:t>34,482,758</w:t>
            </w:r>
          </w:p>
        </w:tc>
        <w:tc>
          <w:tcPr>
            <w:tcW w:w="1293" w:type="dxa"/>
            <w:vAlign w:val="center"/>
          </w:tcPr>
          <w:p>
            <w:pPr>
              <w:widowControl/>
              <w:jc w:val="center"/>
              <w:rPr>
                <w:rFonts w:eastAsia="仿宋"/>
                <w:color w:val="000000"/>
                <w:kern w:val="0"/>
                <w:szCs w:val="21"/>
              </w:rPr>
            </w:pPr>
            <w:r>
              <w:rPr>
                <w:rFonts w:hint="eastAsia" w:eastAsia="仿宋"/>
                <w:color w:val="000000"/>
                <w:kern w:val="0"/>
                <w:szCs w:val="21"/>
              </w:rPr>
              <w:t>34,482,758</w:t>
            </w:r>
          </w:p>
        </w:tc>
        <w:tc>
          <w:tcPr>
            <w:tcW w:w="1683" w:type="dxa"/>
            <w:vAlign w:val="center"/>
          </w:tcPr>
          <w:p>
            <w:pPr>
              <w:widowControl/>
              <w:jc w:val="center"/>
              <w:rPr>
                <w:rFonts w:hint="default" w:eastAsia="仿宋"/>
                <w:lang w:val="en-US" w:eastAsia="zh-CN"/>
              </w:rPr>
            </w:pPr>
            <w:r>
              <w:rPr>
                <w:rFonts w:hint="eastAsia" w:eastAsia="仿宋"/>
                <w:color w:val="000000"/>
                <w:kern w:val="0"/>
                <w:szCs w:val="21"/>
                <w:lang w:bidi="ar"/>
              </w:rPr>
              <w:t>1.41</w:t>
            </w:r>
            <w:r>
              <w:rPr>
                <w:rFonts w:hint="eastAsia" w:eastAsia="仿宋"/>
                <w:color w:val="000000"/>
                <w:kern w:val="0"/>
                <w:szCs w:val="21"/>
                <w:lang w:val="en-US" w:eastAsia="zh-CN" w:bidi="ar"/>
              </w:rPr>
              <w:t>00</w:t>
            </w:r>
          </w:p>
        </w:tc>
        <w:tc>
          <w:tcPr>
            <w:tcW w:w="1524" w:type="dxa"/>
            <w:vAlign w:val="center"/>
          </w:tcPr>
          <w:p>
            <w:pPr>
              <w:widowControl/>
              <w:jc w:val="center"/>
              <w:rPr>
                <w:rFonts w:hint="default" w:eastAsia="仿宋"/>
                <w:lang w:val="en-US" w:eastAsia="zh-CN"/>
              </w:rPr>
            </w:pPr>
            <w:r>
              <w:rPr>
                <w:rFonts w:hint="eastAsia" w:eastAsia="仿宋"/>
                <w:color w:val="000000"/>
                <w:kern w:val="0"/>
                <w:szCs w:val="21"/>
              </w:rPr>
              <w:t>1.2</w:t>
            </w:r>
            <w:r>
              <w:rPr>
                <w:rFonts w:hint="eastAsia" w:eastAsia="仿宋"/>
                <w:color w:val="000000"/>
                <w:kern w:val="0"/>
                <w:szCs w:val="21"/>
                <w:lang w:val="en-US" w:eastAsia="zh-CN"/>
              </w:rPr>
              <w:t>358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71" w:type="dxa"/>
            <w:gridSpan w:val="2"/>
            <w:vAlign w:val="center"/>
          </w:tcPr>
          <w:p>
            <w:pPr>
              <w:widowControl/>
              <w:jc w:val="center"/>
              <w:rPr>
                <w:rFonts w:eastAsia="仿宋"/>
                <w:b/>
                <w:bCs/>
                <w:color w:val="000000"/>
                <w:kern w:val="0"/>
                <w:szCs w:val="21"/>
              </w:rPr>
            </w:pPr>
            <w:r>
              <w:rPr>
                <w:rFonts w:hAnsi="仿宋" w:eastAsia="仿宋"/>
                <w:b/>
                <w:bCs/>
                <w:color w:val="000000"/>
                <w:kern w:val="0"/>
                <w:szCs w:val="21"/>
              </w:rPr>
              <w:t>合计</w:t>
            </w:r>
          </w:p>
        </w:tc>
        <w:tc>
          <w:tcPr>
            <w:tcW w:w="1306" w:type="dxa"/>
            <w:vAlign w:val="center"/>
          </w:tcPr>
          <w:p>
            <w:pPr>
              <w:widowControl/>
              <w:jc w:val="right"/>
              <w:textAlignment w:val="center"/>
              <w:rPr>
                <w:rFonts w:eastAsia="仿宋"/>
                <w:b/>
                <w:bCs/>
                <w:color w:val="000000"/>
                <w:kern w:val="0"/>
                <w:szCs w:val="21"/>
              </w:rPr>
            </w:pPr>
            <w:r>
              <w:rPr>
                <w:rFonts w:hint="eastAsia" w:eastAsia="仿宋"/>
                <w:color w:val="000000"/>
                <w:kern w:val="0"/>
                <w:szCs w:val="21"/>
                <w:lang w:bidi="ar"/>
              </w:rPr>
              <w:t>344,360,457</w:t>
            </w:r>
            <w:r>
              <w:rPr>
                <w:rFonts w:hint="eastAsia" w:ascii="宋体" w:hAnsi="宋体" w:cs="宋体"/>
                <w:color w:val="000000"/>
                <w:kern w:val="0"/>
                <w:sz w:val="22"/>
                <w:szCs w:val="22"/>
                <w:lang w:bidi="ar"/>
              </w:rPr>
              <w:t xml:space="preserve"> </w:t>
            </w:r>
          </w:p>
        </w:tc>
        <w:tc>
          <w:tcPr>
            <w:tcW w:w="1293" w:type="dxa"/>
            <w:vAlign w:val="center"/>
          </w:tcPr>
          <w:p>
            <w:pPr>
              <w:widowControl/>
              <w:jc w:val="center"/>
              <w:rPr>
                <w:rFonts w:eastAsia="仿宋"/>
                <w:b/>
                <w:bCs/>
                <w:color w:val="000000"/>
                <w:kern w:val="0"/>
                <w:szCs w:val="21"/>
              </w:rPr>
            </w:pPr>
            <w:r>
              <w:rPr>
                <w:rFonts w:hint="eastAsia" w:eastAsia="仿宋"/>
                <w:color w:val="000000"/>
                <w:kern w:val="0"/>
                <w:szCs w:val="21"/>
                <w:lang w:bidi="ar"/>
              </w:rPr>
              <w:t>344,360,457</w:t>
            </w:r>
          </w:p>
        </w:tc>
        <w:tc>
          <w:tcPr>
            <w:tcW w:w="1683" w:type="dxa"/>
            <w:vAlign w:val="center"/>
          </w:tcPr>
          <w:p>
            <w:pPr>
              <w:widowControl/>
              <w:jc w:val="center"/>
              <w:rPr>
                <w:rFonts w:hint="default" w:eastAsia="仿宋"/>
                <w:lang w:val="en-US" w:eastAsia="zh-CN"/>
              </w:rPr>
            </w:pPr>
            <w:r>
              <w:rPr>
                <w:rFonts w:hint="eastAsia" w:eastAsia="仿宋"/>
                <w:b/>
                <w:bCs/>
                <w:color w:val="000000"/>
                <w:kern w:val="0"/>
                <w:szCs w:val="21"/>
                <w:lang w:bidi="ar"/>
              </w:rPr>
              <w:t>14.08</w:t>
            </w:r>
            <w:r>
              <w:rPr>
                <w:rFonts w:hint="eastAsia" w:eastAsia="仿宋"/>
                <w:b/>
                <w:bCs/>
                <w:color w:val="000000"/>
                <w:kern w:val="0"/>
                <w:szCs w:val="21"/>
                <w:lang w:val="en-US" w:eastAsia="zh-CN" w:bidi="ar"/>
              </w:rPr>
              <w:t>08</w:t>
            </w:r>
          </w:p>
        </w:tc>
        <w:tc>
          <w:tcPr>
            <w:tcW w:w="1524" w:type="dxa"/>
            <w:vAlign w:val="center"/>
          </w:tcPr>
          <w:p>
            <w:pPr>
              <w:widowControl/>
              <w:jc w:val="center"/>
              <w:rPr>
                <w:rFonts w:hint="default" w:eastAsia="仿宋"/>
                <w:lang w:val="en-US" w:eastAsia="zh-CN"/>
              </w:rPr>
            </w:pPr>
            <w:r>
              <w:rPr>
                <w:rFonts w:hint="eastAsia" w:eastAsia="仿宋"/>
                <w:b/>
                <w:bCs/>
                <w:color w:val="000000"/>
                <w:kern w:val="0"/>
                <w:szCs w:val="21"/>
              </w:rPr>
              <w:t>12.34</w:t>
            </w:r>
            <w:r>
              <w:rPr>
                <w:rFonts w:hint="eastAsia" w:eastAsia="仿宋"/>
                <w:b/>
                <w:bCs/>
                <w:color w:val="000000"/>
                <w:kern w:val="0"/>
                <w:szCs w:val="21"/>
                <w:lang w:val="en-US" w:eastAsia="zh-CN"/>
              </w:rPr>
              <w:t>17</w:t>
            </w:r>
          </w:p>
        </w:tc>
      </w:tr>
    </w:tbl>
    <w:p>
      <w:pPr>
        <w:spacing w:before="156" w:beforeLines="50" w:line="360" w:lineRule="auto"/>
        <w:ind w:firstLine="568" w:firstLineChars="202"/>
        <w:rPr>
          <w:rFonts w:eastAsia="仿宋"/>
          <w:b/>
          <w:sz w:val="28"/>
          <w:szCs w:val="28"/>
        </w:rPr>
      </w:pPr>
      <w:r>
        <w:rPr>
          <w:rFonts w:hAnsi="仿宋" w:eastAsia="仿宋"/>
          <w:b/>
          <w:sz w:val="28"/>
          <w:szCs w:val="28"/>
        </w:rPr>
        <w:t>四、本次限售股份上市流通后股本结构变动情况</w:t>
      </w:r>
    </w:p>
    <w:p>
      <w:pPr>
        <w:spacing w:before="156" w:beforeLines="50" w:line="360" w:lineRule="auto"/>
        <w:ind w:firstLine="565" w:firstLineChars="202"/>
        <w:rPr>
          <w:rFonts w:hAnsi="仿宋" w:eastAsia="仿宋"/>
          <w:b/>
          <w:sz w:val="28"/>
          <w:szCs w:val="28"/>
        </w:rPr>
      </w:pPr>
      <w:r>
        <w:rPr>
          <w:rFonts w:hAnsi="仿宋" w:eastAsia="仿宋"/>
          <w:sz w:val="28"/>
          <w:szCs w:val="28"/>
        </w:rPr>
        <w:t>本次解除限售前后的股本结构如下：</w:t>
      </w:r>
    </w:p>
    <w:tbl>
      <w:tblPr>
        <w:tblStyle w:val="8"/>
        <w:tblW w:w="9100" w:type="dxa"/>
        <w:jc w:val="center"/>
        <w:tblLayout w:type="fixed"/>
        <w:tblCellMar>
          <w:top w:w="0" w:type="dxa"/>
          <w:left w:w="108" w:type="dxa"/>
          <w:bottom w:w="0" w:type="dxa"/>
          <w:right w:w="108" w:type="dxa"/>
        </w:tblCellMar>
      </w:tblPr>
      <w:tblGrid>
        <w:gridCol w:w="2490"/>
        <w:gridCol w:w="1470"/>
        <w:gridCol w:w="1170"/>
        <w:gridCol w:w="1365"/>
        <w:gridCol w:w="1425"/>
        <w:gridCol w:w="1180"/>
      </w:tblGrid>
      <w:tr>
        <w:tblPrEx>
          <w:tblCellMar>
            <w:top w:w="0" w:type="dxa"/>
            <w:left w:w="108" w:type="dxa"/>
            <w:bottom w:w="0" w:type="dxa"/>
            <w:right w:w="108" w:type="dxa"/>
          </w:tblCellMar>
        </w:tblPrEx>
        <w:trPr>
          <w:trHeight w:val="270" w:hRule="atLeast"/>
          <w:jc w:val="center"/>
        </w:trPr>
        <w:tc>
          <w:tcPr>
            <w:tcW w:w="2490" w:type="dxa"/>
            <w:vMerge w:val="restart"/>
            <w:tcBorders>
              <w:top w:val="single" w:color="auto" w:sz="12" w:space="0"/>
              <w:left w:val="single" w:color="auto" w:sz="12" w:space="0"/>
              <w:bottom w:val="single" w:color="auto" w:sz="4" w:space="0"/>
              <w:right w:val="single" w:color="auto" w:sz="4" w:space="0"/>
            </w:tcBorders>
            <w:vAlign w:val="center"/>
          </w:tcPr>
          <w:p>
            <w:pPr>
              <w:widowControl/>
              <w:jc w:val="center"/>
              <w:rPr>
                <w:rFonts w:eastAsia="仿宋"/>
                <w:b/>
                <w:bCs/>
                <w:color w:val="000000"/>
                <w:kern w:val="0"/>
                <w:szCs w:val="21"/>
              </w:rPr>
            </w:pPr>
          </w:p>
        </w:tc>
        <w:tc>
          <w:tcPr>
            <w:tcW w:w="2640" w:type="dxa"/>
            <w:gridSpan w:val="2"/>
            <w:tcBorders>
              <w:top w:val="single" w:color="auto" w:sz="12" w:space="0"/>
              <w:left w:val="nil"/>
              <w:bottom w:val="single" w:color="auto" w:sz="4" w:space="0"/>
              <w:right w:val="single" w:color="auto" w:sz="4" w:space="0"/>
            </w:tcBorders>
            <w:vAlign w:val="center"/>
          </w:tcPr>
          <w:p>
            <w:pPr>
              <w:widowControl/>
              <w:jc w:val="center"/>
              <w:rPr>
                <w:rFonts w:eastAsia="仿宋"/>
                <w:b/>
                <w:bCs/>
                <w:color w:val="000000"/>
                <w:kern w:val="0"/>
                <w:szCs w:val="21"/>
              </w:rPr>
            </w:pPr>
            <w:r>
              <w:rPr>
                <w:rFonts w:hAnsi="仿宋" w:eastAsia="仿宋"/>
                <w:b/>
                <w:bCs/>
                <w:color w:val="000000"/>
                <w:kern w:val="0"/>
                <w:szCs w:val="21"/>
              </w:rPr>
              <w:t>本次变动前</w:t>
            </w:r>
          </w:p>
        </w:tc>
        <w:tc>
          <w:tcPr>
            <w:tcW w:w="1365" w:type="dxa"/>
            <w:vMerge w:val="restart"/>
            <w:tcBorders>
              <w:top w:val="single" w:color="auto" w:sz="12" w:space="0"/>
              <w:left w:val="single" w:color="auto" w:sz="4" w:space="0"/>
              <w:bottom w:val="single" w:color="000000" w:sz="4" w:space="0"/>
              <w:right w:val="single" w:color="auto" w:sz="4" w:space="0"/>
            </w:tcBorders>
            <w:vAlign w:val="center"/>
          </w:tcPr>
          <w:p>
            <w:pPr>
              <w:widowControl/>
              <w:jc w:val="center"/>
              <w:rPr>
                <w:rFonts w:eastAsia="仿宋"/>
                <w:b/>
                <w:bCs/>
                <w:color w:val="000000"/>
                <w:kern w:val="0"/>
                <w:szCs w:val="21"/>
              </w:rPr>
            </w:pPr>
            <w:r>
              <w:rPr>
                <w:rFonts w:hAnsi="仿宋" w:eastAsia="仿宋"/>
                <w:b/>
                <w:bCs/>
                <w:color w:val="000000"/>
                <w:kern w:val="0"/>
                <w:szCs w:val="21"/>
              </w:rPr>
              <w:t>本次变动</w:t>
            </w:r>
            <w:r>
              <w:rPr>
                <w:rFonts w:hint="eastAsia" w:hAnsi="仿宋" w:eastAsia="仿宋"/>
                <w:b/>
                <w:bCs/>
                <w:color w:val="000000"/>
                <w:kern w:val="0"/>
                <w:szCs w:val="21"/>
              </w:rPr>
              <w:t>数</w:t>
            </w:r>
            <w:r>
              <w:rPr>
                <w:rFonts w:hAnsi="仿宋" w:eastAsia="仿宋"/>
                <w:b/>
                <w:bCs/>
                <w:color w:val="000000"/>
                <w:kern w:val="0"/>
                <w:szCs w:val="21"/>
              </w:rPr>
              <w:t>（</w:t>
            </w:r>
            <w:r>
              <w:rPr>
                <w:rFonts w:hint="eastAsia" w:eastAsia="仿宋"/>
                <w:b/>
                <w:bCs/>
                <w:color w:val="000000"/>
                <w:kern w:val="0"/>
                <w:szCs w:val="21"/>
              </w:rPr>
              <w:t>股</w:t>
            </w:r>
            <w:r>
              <w:rPr>
                <w:rFonts w:hAnsi="仿宋" w:eastAsia="仿宋"/>
                <w:b/>
                <w:bCs/>
                <w:color w:val="000000"/>
                <w:kern w:val="0"/>
                <w:szCs w:val="21"/>
              </w:rPr>
              <w:t>）</w:t>
            </w:r>
          </w:p>
        </w:tc>
        <w:tc>
          <w:tcPr>
            <w:tcW w:w="2605" w:type="dxa"/>
            <w:gridSpan w:val="2"/>
            <w:tcBorders>
              <w:top w:val="single" w:color="auto" w:sz="12" w:space="0"/>
              <w:left w:val="nil"/>
              <w:bottom w:val="single" w:color="auto" w:sz="4" w:space="0"/>
              <w:right w:val="single" w:color="auto" w:sz="12" w:space="0"/>
            </w:tcBorders>
            <w:vAlign w:val="center"/>
          </w:tcPr>
          <w:p>
            <w:pPr>
              <w:widowControl/>
              <w:jc w:val="center"/>
              <w:rPr>
                <w:rFonts w:eastAsia="仿宋"/>
                <w:b/>
                <w:bCs/>
                <w:color w:val="000000"/>
                <w:kern w:val="0"/>
                <w:szCs w:val="21"/>
              </w:rPr>
            </w:pPr>
            <w:r>
              <w:rPr>
                <w:rFonts w:hAnsi="仿宋" w:eastAsia="仿宋"/>
                <w:b/>
                <w:bCs/>
                <w:color w:val="000000"/>
                <w:kern w:val="0"/>
                <w:szCs w:val="21"/>
              </w:rPr>
              <w:t>本次变动后</w:t>
            </w:r>
          </w:p>
        </w:tc>
      </w:tr>
      <w:tr>
        <w:tblPrEx>
          <w:tblCellMar>
            <w:top w:w="0" w:type="dxa"/>
            <w:left w:w="108" w:type="dxa"/>
            <w:bottom w:w="0" w:type="dxa"/>
            <w:right w:w="108" w:type="dxa"/>
          </w:tblCellMar>
        </w:tblPrEx>
        <w:trPr>
          <w:trHeight w:val="270" w:hRule="atLeast"/>
          <w:jc w:val="center"/>
        </w:trPr>
        <w:tc>
          <w:tcPr>
            <w:tcW w:w="249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仿宋"/>
                <w:b/>
                <w:bCs/>
                <w:color w:val="000000"/>
                <w:kern w:val="0"/>
                <w:szCs w:val="21"/>
              </w:rPr>
            </w:pPr>
          </w:p>
        </w:tc>
        <w:tc>
          <w:tcPr>
            <w:tcW w:w="1470" w:type="dxa"/>
            <w:tcBorders>
              <w:top w:val="nil"/>
              <w:left w:val="nil"/>
              <w:bottom w:val="single" w:color="auto" w:sz="4" w:space="0"/>
              <w:right w:val="single" w:color="auto" w:sz="4" w:space="0"/>
            </w:tcBorders>
            <w:vAlign w:val="center"/>
          </w:tcPr>
          <w:p>
            <w:pPr>
              <w:widowControl/>
              <w:jc w:val="center"/>
              <w:rPr>
                <w:rFonts w:eastAsia="仿宋"/>
                <w:b/>
                <w:bCs/>
                <w:color w:val="000000"/>
                <w:kern w:val="0"/>
                <w:szCs w:val="21"/>
              </w:rPr>
            </w:pPr>
            <w:r>
              <w:rPr>
                <w:rFonts w:hAnsi="仿宋" w:eastAsia="仿宋"/>
                <w:b/>
                <w:bCs/>
                <w:color w:val="000000"/>
                <w:kern w:val="0"/>
                <w:szCs w:val="21"/>
              </w:rPr>
              <w:t>数量（股）</w:t>
            </w:r>
          </w:p>
        </w:tc>
        <w:tc>
          <w:tcPr>
            <w:tcW w:w="1170" w:type="dxa"/>
            <w:tcBorders>
              <w:top w:val="nil"/>
              <w:left w:val="nil"/>
              <w:bottom w:val="single" w:color="auto" w:sz="4" w:space="0"/>
              <w:right w:val="single" w:color="auto" w:sz="4" w:space="0"/>
            </w:tcBorders>
            <w:vAlign w:val="center"/>
          </w:tcPr>
          <w:p>
            <w:pPr>
              <w:widowControl/>
              <w:jc w:val="center"/>
              <w:rPr>
                <w:rFonts w:eastAsia="仿宋"/>
                <w:b/>
                <w:bCs/>
                <w:color w:val="000000"/>
                <w:kern w:val="0"/>
                <w:szCs w:val="21"/>
              </w:rPr>
            </w:pPr>
            <w:r>
              <w:rPr>
                <w:rFonts w:hAnsi="仿宋" w:eastAsia="仿宋"/>
                <w:b/>
                <w:bCs/>
                <w:color w:val="000000"/>
                <w:kern w:val="0"/>
                <w:szCs w:val="21"/>
              </w:rPr>
              <w:t>比例</w:t>
            </w:r>
          </w:p>
        </w:tc>
        <w:tc>
          <w:tcPr>
            <w:tcW w:w="136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b/>
                <w:bCs/>
                <w:color w:val="000000"/>
                <w:kern w:val="0"/>
                <w:szCs w:val="21"/>
              </w:rPr>
            </w:pPr>
          </w:p>
        </w:tc>
        <w:tc>
          <w:tcPr>
            <w:tcW w:w="1425" w:type="dxa"/>
            <w:tcBorders>
              <w:top w:val="nil"/>
              <w:left w:val="nil"/>
              <w:bottom w:val="single" w:color="auto" w:sz="4" w:space="0"/>
              <w:right w:val="single" w:color="auto" w:sz="4" w:space="0"/>
            </w:tcBorders>
            <w:vAlign w:val="center"/>
          </w:tcPr>
          <w:p>
            <w:pPr>
              <w:widowControl/>
              <w:jc w:val="center"/>
              <w:rPr>
                <w:rFonts w:eastAsia="仿宋"/>
                <w:b/>
                <w:bCs/>
                <w:color w:val="000000"/>
                <w:kern w:val="0"/>
                <w:szCs w:val="21"/>
              </w:rPr>
            </w:pPr>
            <w:r>
              <w:rPr>
                <w:rFonts w:hAnsi="仿宋" w:eastAsia="仿宋"/>
                <w:b/>
                <w:bCs/>
                <w:color w:val="000000"/>
                <w:kern w:val="0"/>
                <w:szCs w:val="21"/>
              </w:rPr>
              <w:t>数量（股）</w:t>
            </w:r>
          </w:p>
        </w:tc>
        <w:tc>
          <w:tcPr>
            <w:tcW w:w="1180" w:type="dxa"/>
            <w:tcBorders>
              <w:top w:val="nil"/>
              <w:left w:val="nil"/>
              <w:bottom w:val="single" w:color="auto" w:sz="4" w:space="0"/>
              <w:right w:val="single" w:color="auto" w:sz="12" w:space="0"/>
            </w:tcBorders>
            <w:vAlign w:val="center"/>
          </w:tcPr>
          <w:p>
            <w:pPr>
              <w:widowControl/>
              <w:jc w:val="center"/>
              <w:rPr>
                <w:rFonts w:eastAsia="仿宋"/>
                <w:b/>
                <w:bCs/>
                <w:color w:val="000000"/>
                <w:kern w:val="0"/>
                <w:szCs w:val="21"/>
              </w:rPr>
            </w:pPr>
            <w:r>
              <w:rPr>
                <w:rFonts w:hAnsi="仿宋" w:eastAsia="仿宋"/>
                <w:b/>
                <w:bCs/>
                <w:color w:val="000000"/>
                <w:kern w:val="0"/>
                <w:szCs w:val="21"/>
              </w:rPr>
              <w:t>比例</w:t>
            </w:r>
          </w:p>
        </w:tc>
      </w:tr>
      <w:tr>
        <w:tblPrEx>
          <w:tblCellMar>
            <w:top w:w="0" w:type="dxa"/>
            <w:left w:w="108" w:type="dxa"/>
            <w:bottom w:w="0" w:type="dxa"/>
            <w:right w:w="108" w:type="dxa"/>
          </w:tblCellMar>
        </w:tblPrEx>
        <w:trPr>
          <w:trHeight w:val="270" w:hRule="atLeast"/>
          <w:jc w:val="center"/>
        </w:trPr>
        <w:tc>
          <w:tcPr>
            <w:tcW w:w="2490" w:type="dxa"/>
            <w:tcBorders>
              <w:top w:val="nil"/>
              <w:left w:val="single" w:color="auto" w:sz="12" w:space="0"/>
              <w:bottom w:val="single" w:color="auto" w:sz="4" w:space="0"/>
              <w:right w:val="single" w:color="auto" w:sz="4" w:space="0"/>
            </w:tcBorders>
            <w:vAlign w:val="center"/>
          </w:tcPr>
          <w:p>
            <w:pPr>
              <w:widowControl/>
              <w:jc w:val="left"/>
              <w:rPr>
                <w:rFonts w:eastAsia="仿宋"/>
                <w:b/>
                <w:bCs/>
                <w:color w:val="000000"/>
                <w:kern w:val="0"/>
                <w:szCs w:val="21"/>
              </w:rPr>
            </w:pPr>
            <w:r>
              <w:rPr>
                <w:rFonts w:hAnsi="仿宋" w:eastAsia="仿宋"/>
                <w:b/>
                <w:bCs/>
                <w:color w:val="000000"/>
                <w:kern w:val="0"/>
                <w:szCs w:val="21"/>
              </w:rPr>
              <w:t>一、有限售条件的流通股</w:t>
            </w:r>
          </w:p>
        </w:tc>
        <w:tc>
          <w:tcPr>
            <w:tcW w:w="1470" w:type="dxa"/>
            <w:tcBorders>
              <w:top w:val="nil"/>
              <w:left w:val="nil"/>
              <w:bottom w:val="single" w:color="auto" w:sz="4" w:space="0"/>
              <w:right w:val="single" w:color="auto" w:sz="4" w:space="0"/>
            </w:tcBorders>
            <w:vAlign w:val="center"/>
          </w:tcPr>
          <w:p>
            <w:pPr>
              <w:widowControl/>
              <w:jc w:val="center"/>
              <w:rPr>
                <w:rFonts w:eastAsia="仿宋"/>
                <w:b/>
                <w:bCs/>
                <w:color w:val="000000"/>
                <w:kern w:val="0"/>
                <w:szCs w:val="21"/>
              </w:rPr>
            </w:pPr>
            <w:r>
              <w:rPr>
                <w:rFonts w:hint="eastAsia" w:eastAsia="仿宋"/>
                <w:b/>
                <w:bCs/>
                <w:color w:val="000000"/>
                <w:kern w:val="0"/>
                <w:szCs w:val="21"/>
              </w:rPr>
              <w:t>344,602,332</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eastAsia="仿宋"/>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12.3504%</w:t>
            </w:r>
          </w:p>
        </w:tc>
        <w:tc>
          <w:tcPr>
            <w:tcW w:w="1365" w:type="dxa"/>
            <w:tcBorders>
              <w:top w:val="nil"/>
              <w:left w:val="nil"/>
              <w:bottom w:val="single" w:color="auto" w:sz="4" w:space="0"/>
              <w:right w:val="single" w:color="auto" w:sz="4" w:space="0"/>
            </w:tcBorders>
            <w:vAlign w:val="center"/>
          </w:tcPr>
          <w:p>
            <w:pPr>
              <w:widowControl/>
              <w:jc w:val="center"/>
              <w:rPr>
                <w:rFonts w:eastAsia="仿宋"/>
                <w:b/>
                <w:bCs/>
                <w:color w:val="000000"/>
                <w:kern w:val="0"/>
                <w:szCs w:val="21"/>
              </w:rPr>
            </w:pPr>
            <w:r>
              <w:rPr>
                <w:rFonts w:hint="eastAsia" w:eastAsia="仿宋"/>
                <w:b/>
                <w:bCs/>
                <w:color w:val="000000"/>
                <w:kern w:val="0"/>
                <w:szCs w:val="21"/>
              </w:rPr>
              <w:t>-344,360,457</w:t>
            </w:r>
          </w:p>
        </w:tc>
        <w:tc>
          <w:tcPr>
            <w:tcW w:w="1425" w:type="dxa"/>
            <w:tcBorders>
              <w:top w:val="nil"/>
              <w:left w:val="nil"/>
              <w:bottom w:val="single" w:color="auto" w:sz="4" w:space="0"/>
              <w:right w:val="single" w:color="auto" w:sz="4" w:space="0"/>
            </w:tcBorders>
            <w:vAlign w:val="center"/>
          </w:tcPr>
          <w:p>
            <w:pPr>
              <w:widowControl/>
              <w:jc w:val="center"/>
              <w:rPr>
                <w:rFonts w:eastAsia="仿宋"/>
                <w:b/>
                <w:bCs/>
                <w:color w:val="000000"/>
                <w:kern w:val="0"/>
                <w:szCs w:val="21"/>
              </w:rPr>
            </w:pPr>
            <w:r>
              <w:rPr>
                <w:rFonts w:eastAsia="仿宋"/>
                <w:b/>
                <w:bCs/>
                <w:color w:val="000000"/>
                <w:kern w:val="0"/>
                <w:szCs w:val="21"/>
              </w:rPr>
              <w:t>241,875</w:t>
            </w:r>
          </w:p>
        </w:tc>
        <w:tc>
          <w:tcPr>
            <w:tcW w:w="1180" w:type="dxa"/>
            <w:tcBorders>
              <w:top w:val="nil"/>
              <w:left w:val="nil"/>
              <w:bottom w:val="single" w:color="auto" w:sz="4" w:space="0"/>
              <w:right w:val="single" w:color="auto" w:sz="12" w:space="0"/>
            </w:tcBorders>
            <w:vAlign w:val="center"/>
          </w:tcPr>
          <w:p>
            <w:pPr>
              <w:keepNext w:val="0"/>
              <w:keepLines w:val="0"/>
              <w:widowControl/>
              <w:suppressLineNumbers w:val="0"/>
              <w:jc w:val="center"/>
              <w:textAlignment w:val="center"/>
              <w:rPr>
                <w:rFonts w:eastAsia="仿宋"/>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0.0087%</w:t>
            </w:r>
          </w:p>
        </w:tc>
      </w:tr>
      <w:tr>
        <w:tblPrEx>
          <w:tblCellMar>
            <w:top w:w="0" w:type="dxa"/>
            <w:left w:w="108" w:type="dxa"/>
            <w:bottom w:w="0" w:type="dxa"/>
            <w:right w:w="108" w:type="dxa"/>
          </w:tblCellMar>
        </w:tblPrEx>
        <w:trPr>
          <w:trHeight w:val="90" w:hRule="atLeast"/>
          <w:jc w:val="center"/>
        </w:trPr>
        <w:tc>
          <w:tcPr>
            <w:tcW w:w="2490" w:type="dxa"/>
            <w:tcBorders>
              <w:top w:val="nil"/>
              <w:left w:val="single" w:color="auto" w:sz="12" w:space="0"/>
              <w:bottom w:val="single" w:color="auto" w:sz="4" w:space="0"/>
              <w:right w:val="single" w:color="auto" w:sz="4" w:space="0"/>
            </w:tcBorders>
            <w:vAlign w:val="center"/>
          </w:tcPr>
          <w:p>
            <w:pPr>
              <w:widowControl/>
              <w:ind w:firstLine="338" w:firstLineChars="161"/>
              <w:jc w:val="left"/>
              <w:rPr>
                <w:rFonts w:eastAsia="仿宋"/>
                <w:color w:val="000000"/>
                <w:kern w:val="0"/>
                <w:szCs w:val="21"/>
              </w:rPr>
            </w:pPr>
            <w:r>
              <w:rPr>
                <w:rFonts w:hint="eastAsia" w:hAnsi="仿宋" w:eastAsia="仿宋"/>
                <w:color w:val="000000"/>
                <w:kern w:val="0"/>
                <w:szCs w:val="21"/>
              </w:rPr>
              <w:t>高管锁定股</w:t>
            </w:r>
          </w:p>
        </w:tc>
        <w:tc>
          <w:tcPr>
            <w:tcW w:w="1470" w:type="dxa"/>
            <w:tcBorders>
              <w:top w:val="nil"/>
              <w:left w:val="nil"/>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241,875</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eastAsia="仿宋"/>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0.0087%</w:t>
            </w:r>
          </w:p>
        </w:tc>
        <w:tc>
          <w:tcPr>
            <w:tcW w:w="1365" w:type="dxa"/>
            <w:tcBorders>
              <w:top w:val="nil"/>
              <w:left w:val="nil"/>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0</w:t>
            </w:r>
          </w:p>
        </w:tc>
        <w:tc>
          <w:tcPr>
            <w:tcW w:w="1425" w:type="dxa"/>
            <w:tcBorders>
              <w:top w:val="nil"/>
              <w:left w:val="nil"/>
              <w:bottom w:val="single" w:color="auto" w:sz="4" w:space="0"/>
              <w:right w:val="single" w:color="auto" w:sz="4" w:space="0"/>
            </w:tcBorders>
            <w:vAlign w:val="center"/>
          </w:tcPr>
          <w:p>
            <w:pPr>
              <w:widowControl/>
              <w:jc w:val="center"/>
              <w:rPr>
                <w:rFonts w:eastAsia="仿宋"/>
                <w:bCs/>
                <w:color w:val="000000"/>
                <w:kern w:val="0"/>
                <w:szCs w:val="21"/>
              </w:rPr>
            </w:pPr>
            <w:r>
              <w:rPr>
                <w:rFonts w:eastAsia="仿宋"/>
                <w:color w:val="000000"/>
                <w:kern w:val="0"/>
                <w:szCs w:val="21"/>
              </w:rPr>
              <w:t>241,875</w:t>
            </w:r>
          </w:p>
        </w:tc>
        <w:tc>
          <w:tcPr>
            <w:tcW w:w="1180" w:type="dxa"/>
            <w:tcBorders>
              <w:top w:val="nil"/>
              <w:left w:val="nil"/>
              <w:bottom w:val="single" w:color="auto" w:sz="4" w:space="0"/>
              <w:right w:val="single" w:color="auto" w:sz="12" w:space="0"/>
            </w:tcBorders>
            <w:vAlign w:val="center"/>
          </w:tcPr>
          <w:p>
            <w:pPr>
              <w:keepNext w:val="0"/>
              <w:keepLines w:val="0"/>
              <w:widowControl/>
              <w:suppressLineNumbers w:val="0"/>
              <w:jc w:val="center"/>
              <w:textAlignment w:val="center"/>
              <w:rPr>
                <w:rFonts w:eastAsia="仿宋"/>
                <w:bCs/>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0.0087%</w:t>
            </w:r>
          </w:p>
        </w:tc>
      </w:tr>
      <w:tr>
        <w:tblPrEx>
          <w:tblCellMar>
            <w:top w:w="0" w:type="dxa"/>
            <w:left w:w="108" w:type="dxa"/>
            <w:bottom w:w="0" w:type="dxa"/>
            <w:right w:w="108" w:type="dxa"/>
          </w:tblCellMar>
        </w:tblPrEx>
        <w:trPr>
          <w:trHeight w:val="270" w:hRule="atLeast"/>
          <w:jc w:val="center"/>
        </w:trPr>
        <w:tc>
          <w:tcPr>
            <w:tcW w:w="2490" w:type="dxa"/>
            <w:tcBorders>
              <w:top w:val="nil"/>
              <w:left w:val="single" w:color="auto" w:sz="12" w:space="0"/>
              <w:bottom w:val="single" w:color="auto" w:sz="4" w:space="0"/>
              <w:right w:val="single" w:color="auto" w:sz="4" w:space="0"/>
            </w:tcBorders>
          </w:tcPr>
          <w:p>
            <w:pPr>
              <w:widowControl/>
              <w:ind w:firstLine="338" w:firstLineChars="161"/>
              <w:jc w:val="left"/>
              <w:rPr>
                <w:rFonts w:hAnsi="仿宋" w:eastAsia="仿宋"/>
                <w:color w:val="000000"/>
                <w:kern w:val="0"/>
                <w:szCs w:val="21"/>
              </w:rPr>
            </w:pPr>
            <w:r>
              <w:rPr>
                <w:rFonts w:hint="eastAsia" w:hAnsi="仿宋" w:eastAsia="仿宋"/>
                <w:color w:val="000000"/>
                <w:kern w:val="0"/>
                <w:szCs w:val="21"/>
              </w:rPr>
              <w:t>首发后限售股</w:t>
            </w:r>
          </w:p>
        </w:tc>
        <w:tc>
          <w:tcPr>
            <w:tcW w:w="1470" w:type="dxa"/>
            <w:tcBorders>
              <w:top w:val="nil"/>
              <w:left w:val="nil"/>
              <w:bottom w:val="single" w:color="auto" w:sz="4" w:space="0"/>
              <w:right w:val="single" w:color="auto" w:sz="4" w:space="0"/>
            </w:tcBorders>
            <w:vAlign w:val="center"/>
          </w:tcPr>
          <w:p>
            <w:pPr>
              <w:widowControl/>
              <w:jc w:val="center"/>
              <w:textAlignment w:val="center"/>
              <w:rPr>
                <w:rFonts w:eastAsia="仿宋"/>
                <w:color w:val="000000"/>
                <w:kern w:val="0"/>
                <w:szCs w:val="21"/>
              </w:rPr>
            </w:pPr>
            <w:r>
              <w:rPr>
                <w:rFonts w:hint="eastAsia" w:eastAsia="仿宋"/>
                <w:color w:val="000000"/>
                <w:kern w:val="0"/>
                <w:szCs w:val="21"/>
              </w:rPr>
              <w:t>344,360,457</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eastAsia="仿宋"/>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12.3417%</w:t>
            </w:r>
          </w:p>
        </w:tc>
        <w:tc>
          <w:tcPr>
            <w:tcW w:w="1365" w:type="dxa"/>
            <w:tcBorders>
              <w:top w:val="nil"/>
              <w:left w:val="nil"/>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-344,360,457</w:t>
            </w:r>
          </w:p>
        </w:tc>
        <w:tc>
          <w:tcPr>
            <w:tcW w:w="1425" w:type="dxa"/>
            <w:tcBorders>
              <w:top w:val="nil"/>
              <w:left w:val="nil"/>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0</w:t>
            </w:r>
          </w:p>
        </w:tc>
        <w:tc>
          <w:tcPr>
            <w:tcW w:w="1180" w:type="dxa"/>
            <w:tcBorders>
              <w:top w:val="nil"/>
              <w:left w:val="nil"/>
              <w:bottom w:val="single" w:color="auto" w:sz="4" w:space="0"/>
              <w:right w:val="single" w:color="auto" w:sz="12" w:space="0"/>
            </w:tcBorders>
            <w:vAlign w:val="center"/>
          </w:tcPr>
          <w:p>
            <w:pPr>
              <w:keepNext w:val="0"/>
              <w:keepLines w:val="0"/>
              <w:widowControl/>
              <w:suppressLineNumbers w:val="0"/>
              <w:jc w:val="center"/>
              <w:textAlignment w:val="center"/>
              <w:rPr>
                <w:rFonts w:eastAsia="仿宋"/>
                <w:color w:val="000000"/>
                <w:kern w:val="0"/>
                <w:szCs w:val="21"/>
              </w:rPr>
            </w:pPr>
            <w:r>
              <w:rPr>
                <w:rFonts w:hint="default" w:ascii="Times New Roman" w:hAnsi="Times New Roman" w:eastAsia="宋体" w:cs="Times New Roman"/>
                <w:i w:val="0"/>
                <w:iCs w:val="0"/>
                <w:color w:val="000000"/>
                <w:kern w:val="0"/>
                <w:sz w:val="21"/>
                <w:szCs w:val="21"/>
                <w:u w:val="none"/>
                <w:lang w:val="en-US" w:eastAsia="zh-CN" w:bidi="ar"/>
              </w:rPr>
              <w:t>0%</w:t>
            </w:r>
          </w:p>
        </w:tc>
      </w:tr>
      <w:tr>
        <w:tblPrEx>
          <w:tblCellMar>
            <w:top w:w="0" w:type="dxa"/>
            <w:left w:w="108" w:type="dxa"/>
            <w:bottom w:w="0" w:type="dxa"/>
            <w:right w:w="108" w:type="dxa"/>
          </w:tblCellMar>
        </w:tblPrEx>
        <w:trPr>
          <w:trHeight w:val="270" w:hRule="atLeast"/>
          <w:jc w:val="center"/>
        </w:trPr>
        <w:tc>
          <w:tcPr>
            <w:tcW w:w="2490" w:type="dxa"/>
            <w:tcBorders>
              <w:top w:val="nil"/>
              <w:left w:val="single" w:color="auto" w:sz="12" w:space="0"/>
              <w:bottom w:val="single" w:color="auto" w:sz="4" w:space="0"/>
              <w:right w:val="single" w:color="auto" w:sz="4" w:space="0"/>
            </w:tcBorders>
            <w:vAlign w:val="center"/>
          </w:tcPr>
          <w:p>
            <w:pPr>
              <w:widowControl/>
              <w:jc w:val="left"/>
              <w:rPr>
                <w:rFonts w:eastAsia="仿宋"/>
                <w:b/>
                <w:bCs/>
                <w:color w:val="000000"/>
                <w:kern w:val="0"/>
                <w:szCs w:val="21"/>
              </w:rPr>
            </w:pPr>
            <w:r>
              <w:rPr>
                <w:rFonts w:hAnsi="仿宋" w:eastAsia="仿宋"/>
                <w:b/>
                <w:bCs/>
                <w:color w:val="000000"/>
                <w:kern w:val="0"/>
                <w:szCs w:val="21"/>
              </w:rPr>
              <w:t>二、无限售条件的流通股</w:t>
            </w:r>
          </w:p>
        </w:tc>
        <w:tc>
          <w:tcPr>
            <w:tcW w:w="1470" w:type="dxa"/>
            <w:tcBorders>
              <w:top w:val="nil"/>
              <w:left w:val="nil"/>
              <w:bottom w:val="single" w:color="auto" w:sz="4" w:space="0"/>
              <w:right w:val="single" w:color="auto" w:sz="4" w:space="0"/>
            </w:tcBorders>
            <w:vAlign w:val="center"/>
          </w:tcPr>
          <w:p>
            <w:pPr>
              <w:widowControl/>
              <w:jc w:val="center"/>
              <w:rPr>
                <w:rFonts w:eastAsia="仿宋"/>
                <w:b/>
                <w:bCs/>
                <w:color w:val="000000"/>
                <w:kern w:val="0"/>
                <w:szCs w:val="21"/>
              </w:rPr>
            </w:pPr>
            <w:r>
              <w:rPr>
                <w:rFonts w:hint="eastAsia" w:eastAsia="仿宋"/>
                <w:b/>
                <w:bCs/>
                <w:color w:val="000000"/>
                <w:kern w:val="0"/>
                <w:szCs w:val="21"/>
              </w:rPr>
              <w:t>2,445,605,842</w:t>
            </w: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eastAsia="仿宋"/>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87.6496%</w:t>
            </w:r>
          </w:p>
        </w:tc>
        <w:tc>
          <w:tcPr>
            <w:tcW w:w="1365" w:type="dxa"/>
            <w:tcBorders>
              <w:top w:val="nil"/>
              <w:left w:val="nil"/>
              <w:bottom w:val="single" w:color="auto" w:sz="4" w:space="0"/>
              <w:right w:val="single" w:color="auto" w:sz="4" w:space="0"/>
            </w:tcBorders>
            <w:vAlign w:val="center"/>
          </w:tcPr>
          <w:p>
            <w:pPr>
              <w:widowControl/>
              <w:jc w:val="center"/>
              <w:rPr>
                <w:rFonts w:eastAsia="仿宋"/>
                <w:b/>
                <w:bCs/>
                <w:color w:val="000000"/>
                <w:kern w:val="0"/>
                <w:szCs w:val="21"/>
              </w:rPr>
            </w:pPr>
            <w:r>
              <w:rPr>
                <w:rFonts w:hint="eastAsia" w:eastAsia="仿宋"/>
                <w:b/>
                <w:bCs/>
                <w:color w:val="000000"/>
                <w:kern w:val="0"/>
                <w:szCs w:val="21"/>
              </w:rPr>
              <w:t>344,360,457</w:t>
            </w:r>
          </w:p>
        </w:tc>
        <w:tc>
          <w:tcPr>
            <w:tcW w:w="1425"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sz w:val="22"/>
                <w:szCs w:val="22"/>
              </w:rPr>
            </w:pPr>
            <w:r>
              <w:rPr>
                <w:rFonts w:hint="eastAsia" w:eastAsia="仿宋"/>
                <w:b/>
                <w:bCs/>
                <w:color w:val="000000"/>
                <w:kern w:val="0"/>
                <w:szCs w:val="21"/>
              </w:rPr>
              <w:t>2,790,037,924</w:t>
            </w:r>
            <w:r>
              <w:rPr>
                <w:rFonts w:hint="eastAsia" w:ascii="宋体" w:hAnsi="宋体" w:cs="宋体"/>
                <w:color w:val="000000"/>
                <w:kern w:val="0"/>
                <w:sz w:val="22"/>
                <w:szCs w:val="22"/>
                <w:lang w:bidi="ar"/>
              </w:rPr>
              <w:t xml:space="preserve"> </w:t>
            </w:r>
          </w:p>
        </w:tc>
        <w:tc>
          <w:tcPr>
            <w:tcW w:w="1180" w:type="dxa"/>
            <w:tcBorders>
              <w:top w:val="nil"/>
              <w:left w:val="nil"/>
              <w:bottom w:val="single" w:color="auto" w:sz="4" w:space="0"/>
              <w:right w:val="single" w:color="auto" w:sz="12" w:space="0"/>
            </w:tcBorders>
            <w:vAlign w:val="center"/>
          </w:tcPr>
          <w:p>
            <w:pPr>
              <w:keepNext w:val="0"/>
              <w:keepLines w:val="0"/>
              <w:widowControl/>
              <w:suppressLineNumbers w:val="0"/>
              <w:jc w:val="center"/>
              <w:textAlignment w:val="center"/>
              <w:rPr>
                <w:rFonts w:eastAsia="仿宋"/>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99.9939%</w:t>
            </w:r>
          </w:p>
        </w:tc>
      </w:tr>
      <w:tr>
        <w:tblPrEx>
          <w:tblCellMar>
            <w:top w:w="0" w:type="dxa"/>
            <w:left w:w="108" w:type="dxa"/>
            <w:bottom w:w="0" w:type="dxa"/>
            <w:right w:w="108" w:type="dxa"/>
          </w:tblCellMar>
        </w:tblPrEx>
        <w:trPr>
          <w:trHeight w:val="272" w:hRule="atLeast"/>
          <w:jc w:val="center"/>
        </w:trPr>
        <w:tc>
          <w:tcPr>
            <w:tcW w:w="2490" w:type="dxa"/>
            <w:tcBorders>
              <w:top w:val="nil"/>
              <w:left w:val="single" w:color="auto" w:sz="12" w:space="0"/>
              <w:bottom w:val="single" w:color="auto" w:sz="12" w:space="0"/>
              <w:right w:val="single" w:color="auto" w:sz="4" w:space="0"/>
            </w:tcBorders>
            <w:vAlign w:val="center"/>
          </w:tcPr>
          <w:p>
            <w:pPr>
              <w:widowControl/>
              <w:jc w:val="left"/>
              <w:rPr>
                <w:rFonts w:eastAsia="仿宋"/>
                <w:b/>
                <w:bCs/>
                <w:color w:val="000000"/>
                <w:kern w:val="0"/>
                <w:szCs w:val="21"/>
              </w:rPr>
            </w:pPr>
            <w:r>
              <w:rPr>
                <w:rFonts w:hAnsi="仿宋" w:eastAsia="仿宋"/>
                <w:b/>
                <w:bCs/>
                <w:color w:val="000000"/>
                <w:kern w:val="0"/>
                <w:szCs w:val="21"/>
              </w:rPr>
              <w:t>三、股份总数</w:t>
            </w:r>
          </w:p>
        </w:tc>
        <w:tc>
          <w:tcPr>
            <w:tcW w:w="1470" w:type="dxa"/>
            <w:tcBorders>
              <w:top w:val="nil"/>
              <w:left w:val="nil"/>
              <w:bottom w:val="single" w:color="auto" w:sz="12" w:space="0"/>
              <w:right w:val="single" w:color="auto" w:sz="4" w:space="0"/>
            </w:tcBorders>
            <w:vAlign w:val="center"/>
          </w:tcPr>
          <w:p>
            <w:pPr>
              <w:widowControl/>
              <w:jc w:val="center"/>
              <w:textAlignment w:val="center"/>
              <w:rPr>
                <w:rFonts w:eastAsia="仿宋"/>
                <w:b/>
                <w:bCs/>
                <w:color w:val="000000"/>
                <w:kern w:val="0"/>
                <w:szCs w:val="21"/>
              </w:rPr>
            </w:pPr>
            <w:r>
              <w:rPr>
                <w:rFonts w:hint="eastAsia" w:eastAsia="仿宋"/>
                <w:b/>
                <w:bCs/>
                <w:color w:val="000000"/>
                <w:kern w:val="0"/>
                <w:szCs w:val="21"/>
              </w:rPr>
              <w:t>2,790,208,174</w:t>
            </w:r>
          </w:p>
        </w:tc>
        <w:tc>
          <w:tcPr>
            <w:tcW w:w="1170" w:type="dxa"/>
            <w:tcBorders>
              <w:top w:val="nil"/>
              <w:left w:val="nil"/>
              <w:bottom w:val="single" w:color="auto" w:sz="12" w:space="0"/>
              <w:right w:val="single" w:color="auto" w:sz="4" w:space="0"/>
            </w:tcBorders>
            <w:vAlign w:val="center"/>
          </w:tcPr>
          <w:p>
            <w:pPr>
              <w:keepNext w:val="0"/>
              <w:keepLines w:val="0"/>
              <w:widowControl/>
              <w:suppressLineNumbers w:val="0"/>
              <w:jc w:val="center"/>
              <w:textAlignment w:val="center"/>
              <w:rPr>
                <w:rFonts w:eastAsia="仿宋"/>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365" w:type="dxa"/>
            <w:tcBorders>
              <w:top w:val="nil"/>
              <w:left w:val="nil"/>
              <w:bottom w:val="single" w:color="auto" w:sz="12" w:space="0"/>
              <w:right w:val="single" w:color="auto" w:sz="4" w:space="0"/>
            </w:tcBorders>
            <w:vAlign w:val="center"/>
          </w:tcPr>
          <w:p>
            <w:pPr>
              <w:widowControl/>
              <w:jc w:val="center"/>
              <w:textAlignment w:val="center"/>
              <w:rPr>
                <w:rFonts w:eastAsia="仿宋"/>
                <w:b/>
                <w:bCs/>
                <w:color w:val="000000"/>
                <w:kern w:val="0"/>
                <w:szCs w:val="21"/>
              </w:rPr>
            </w:pPr>
            <w:r>
              <w:rPr>
                <w:rFonts w:hint="eastAsia" w:eastAsia="仿宋"/>
                <w:b/>
                <w:bCs/>
                <w:color w:val="000000"/>
                <w:kern w:val="0"/>
                <w:szCs w:val="21"/>
              </w:rPr>
              <w:t>0</w:t>
            </w:r>
          </w:p>
        </w:tc>
        <w:tc>
          <w:tcPr>
            <w:tcW w:w="1425" w:type="dxa"/>
            <w:tcBorders>
              <w:top w:val="nil"/>
              <w:left w:val="nil"/>
              <w:bottom w:val="single" w:color="auto" w:sz="12" w:space="0"/>
              <w:right w:val="single" w:color="auto" w:sz="4" w:space="0"/>
            </w:tcBorders>
            <w:vAlign w:val="center"/>
          </w:tcPr>
          <w:p>
            <w:pPr>
              <w:widowControl/>
              <w:jc w:val="center"/>
              <w:textAlignment w:val="center"/>
              <w:rPr>
                <w:rFonts w:eastAsia="仿宋"/>
                <w:b/>
                <w:bCs/>
                <w:color w:val="000000"/>
                <w:kern w:val="0"/>
                <w:szCs w:val="21"/>
              </w:rPr>
            </w:pPr>
            <w:r>
              <w:rPr>
                <w:rFonts w:hint="eastAsia" w:eastAsia="仿宋"/>
                <w:b/>
                <w:bCs/>
                <w:color w:val="000000"/>
                <w:kern w:val="0"/>
                <w:szCs w:val="21"/>
              </w:rPr>
              <w:t>2,790,208,174</w:t>
            </w:r>
          </w:p>
        </w:tc>
        <w:tc>
          <w:tcPr>
            <w:tcW w:w="1180" w:type="dxa"/>
            <w:tcBorders>
              <w:top w:val="nil"/>
              <w:left w:val="nil"/>
              <w:bottom w:val="single" w:color="auto" w:sz="12" w:space="0"/>
              <w:right w:val="single" w:color="auto" w:sz="12" w:space="0"/>
            </w:tcBorders>
            <w:vAlign w:val="center"/>
          </w:tcPr>
          <w:p>
            <w:pPr>
              <w:keepNext w:val="0"/>
              <w:keepLines w:val="0"/>
              <w:widowControl/>
              <w:suppressLineNumbers w:val="0"/>
              <w:jc w:val="center"/>
              <w:textAlignment w:val="center"/>
              <w:rPr>
                <w:rFonts w:eastAsia="仿宋"/>
                <w:b/>
                <w:bCs/>
                <w:color w:val="000000"/>
                <w:kern w:val="0"/>
                <w:szCs w:val="21"/>
              </w:rPr>
            </w:pPr>
            <w:r>
              <w:rPr>
                <w:rFonts w:hint="default" w:ascii="Times New Roman" w:hAnsi="Times New Roman" w:eastAsia="宋体" w:cs="Times New Roman"/>
                <w:b/>
                <w:bCs/>
                <w:i w:val="0"/>
                <w:iCs w:val="0"/>
                <w:color w:val="000000"/>
                <w:kern w:val="0"/>
                <w:sz w:val="21"/>
                <w:szCs w:val="21"/>
                <w:u w:val="none"/>
                <w:lang w:val="en-US" w:eastAsia="zh-CN" w:bidi="ar"/>
              </w:rPr>
              <w:t>100%</w:t>
            </w:r>
          </w:p>
        </w:tc>
      </w:tr>
    </w:tbl>
    <w:p>
      <w:pPr>
        <w:spacing w:before="156" w:beforeLines="50" w:line="360" w:lineRule="auto"/>
        <w:ind w:firstLine="484" w:firstLineChars="202"/>
        <w:rPr>
          <w:rFonts w:hint="eastAsia" w:hAnsi="仿宋" w:eastAsia="仿宋"/>
          <w:bCs/>
          <w:sz w:val="24"/>
        </w:rPr>
      </w:pPr>
      <w:r>
        <w:rPr>
          <w:rFonts w:hint="eastAsia" w:hAnsi="仿宋" w:eastAsia="仿宋"/>
          <w:bCs/>
          <w:sz w:val="24"/>
        </w:rPr>
        <w:t>注：总数与各分项数值之和尾数不符的情形，均为四舍五入原因所致。</w:t>
      </w:r>
    </w:p>
    <w:p>
      <w:pPr>
        <w:spacing w:before="156" w:beforeLines="50" w:line="360" w:lineRule="auto"/>
        <w:ind w:firstLine="568" w:firstLineChars="202"/>
        <w:rPr>
          <w:rFonts w:eastAsia="仿宋"/>
          <w:b/>
          <w:sz w:val="28"/>
          <w:szCs w:val="28"/>
        </w:rPr>
      </w:pPr>
      <w:r>
        <w:rPr>
          <w:rFonts w:hAnsi="仿宋" w:eastAsia="仿宋"/>
          <w:b/>
          <w:sz w:val="28"/>
          <w:szCs w:val="28"/>
        </w:rPr>
        <w:t>五、中介核查意见</w:t>
      </w:r>
    </w:p>
    <w:p>
      <w:pPr>
        <w:spacing w:line="360" w:lineRule="auto"/>
        <w:ind w:firstLine="560" w:firstLineChars="200"/>
        <w:rPr>
          <w:rFonts w:hAnsi="仿宋" w:eastAsia="仿宋"/>
          <w:color w:val="000000"/>
          <w:sz w:val="28"/>
          <w:szCs w:val="28"/>
        </w:rPr>
      </w:pPr>
      <w:r>
        <w:rPr>
          <w:rFonts w:hint="eastAsia" w:hAnsi="仿宋" w:eastAsia="仿宋"/>
          <w:color w:val="000000"/>
          <w:sz w:val="28"/>
          <w:szCs w:val="28"/>
        </w:rPr>
        <w:t>经核查，截至本核查意见出具之日，本次申请解除股份限售的股东不存在违反其在吉电股份非公开发行股票中做出的承诺的情形。吉电股份本次限售股份上市流通符合《证券发行上市保荐业务管理办法》、《深圳证券交易所股票上市规则》等相关法律法规的规定。国信证券对吉电股份本次限售股份上市流通无异议。</w:t>
      </w:r>
    </w:p>
    <w:p>
      <w:pPr>
        <w:spacing w:before="156" w:beforeLines="50" w:line="360" w:lineRule="auto"/>
        <w:ind w:firstLine="568" w:firstLineChars="202"/>
        <w:rPr>
          <w:rFonts w:eastAsia="仿宋"/>
          <w:b/>
          <w:sz w:val="28"/>
          <w:szCs w:val="28"/>
        </w:rPr>
      </w:pPr>
      <w:r>
        <w:rPr>
          <w:rFonts w:hAnsi="仿宋" w:eastAsia="仿宋"/>
          <w:b/>
          <w:sz w:val="28"/>
          <w:szCs w:val="28"/>
        </w:rPr>
        <w:t>六、其他事项</w:t>
      </w:r>
    </w:p>
    <w:p>
      <w:pPr>
        <w:spacing w:line="360" w:lineRule="auto"/>
        <w:ind w:firstLine="565" w:firstLineChars="202"/>
        <w:rPr>
          <w:rFonts w:eastAsia="仿宋"/>
          <w:sz w:val="28"/>
          <w:szCs w:val="28"/>
        </w:rPr>
      </w:pPr>
      <w:r>
        <w:rPr>
          <w:rFonts w:eastAsia="仿宋"/>
          <w:sz w:val="28"/>
          <w:szCs w:val="28"/>
        </w:rPr>
        <w:t>1</w:t>
      </w:r>
      <w:r>
        <w:rPr>
          <w:rFonts w:hint="eastAsia" w:hAnsi="仿宋" w:eastAsia="仿宋"/>
          <w:sz w:val="28"/>
          <w:szCs w:val="28"/>
        </w:rPr>
        <w:t>.</w:t>
      </w:r>
      <w:r>
        <w:rPr>
          <w:rFonts w:hAnsi="仿宋" w:eastAsia="仿宋"/>
          <w:sz w:val="28"/>
          <w:szCs w:val="28"/>
        </w:rPr>
        <w:t>本次申请限售股份上市流通的股东均不存在对本公司非经营性资金占用的情况，本公司也不存在对上述股东提供违规担保等损害上市公司利益行为的情况。</w:t>
      </w:r>
    </w:p>
    <w:p>
      <w:pPr>
        <w:spacing w:line="360" w:lineRule="auto"/>
        <w:ind w:firstLine="565" w:firstLineChars="202"/>
        <w:rPr>
          <w:rFonts w:eastAsia="仿宋"/>
          <w:sz w:val="28"/>
          <w:szCs w:val="28"/>
        </w:rPr>
      </w:pPr>
      <w:r>
        <w:rPr>
          <w:rFonts w:eastAsia="仿宋"/>
          <w:sz w:val="28"/>
          <w:szCs w:val="28"/>
        </w:rPr>
        <w:t>2</w:t>
      </w:r>
      <w:r>
        <w:rPr>
          <w:rFonts w:hint="eastAsia" w:hAnsi="仿宋" w:eastAsia="仿宋"/>
          <w:sz w:val="28"/>
          <w:szCs w:val="28"/>
        </w:rPr>
        <w:t>.</w:t>
      </w:r>
      <w:r>
        <w:rPr>
          <w:rFonts w:hAnsi="仿宋" w:eastAsia="仿宋"/>
          <w:sz w:val="28"/>
          <w:szCs w:val="28"/>
        </w:rPr>
        <w:t>本次限售股份上市流通的股东</w:t>
      </w:r>
      <w:r>
        <w:rPr>
          <w:rFonts w:hint="eastAsia" w:hAnsi="仿宋" w:eastAsia="仿宋"/>
          <w:sz w:val="28"/>
          <w:szCs w:val="28"/>
        </w:rPr>
        <w:t>为</w:t>
      </w:r>
      <w:r>
        <w:rPr>
          <w:rFonts w:hAnsi="仿宋" w:eastAsia="仿宋"/>
          <w:sz w:val="28"/>
          <w:szCs w:val="28"/>
        </w:rPr>
        <w:t>公司控股股东</w:t>
      </w:r>
      <w:r>
        <w:rPr>
          <w:rFonts w:hint="eastAsia" w:hAnsi="仿宋" w:eastAsia="仿宋"/>
          <w:sz w:val="28"/>
          <w:szCs w:val="28"/>
        </w:rPr>
        <w:t>及一致行动人</w:t>
      </w:r>
      <w:r>
        <w:rPr>
          <w:rFonts w:hAnsi="仿宋" w:eastAsia="仿宋"/>
          <w:sz w:val="28"/>
          <w:szCs w:val="28"/>
        </w:rPr>
        <w:t>。</w:t>
      </w:r>
    </w:p>
    <w:p>
      <w:pPr>
        <w:spacing w:before="156" w:beforeLines="50" w:line="360" w:lineRule="auto"/>
        <w:ind w:firstLine="568" w:firstLineChars="202"/>
        <w:rPr>
          <w:rFonts w:eastAsia="仿宋"/>
          <w:b/>
          <w:sz w:val="28"/>
          <w:szCs w:val="28"/>
        </w:rPr>
      </w:pPr>
      <w:r>
        <w:rPr>
          <w:rFonts w:hAnsi="仿宋" w:eastAsia="仿宋"/>
          <w:b/>
          <w:sz w:val="28"/>
          <w:szCs w:val="28"/>
        </w:rPr>
        <w:t>七、备查文件</w:t>
      </w:r>
    </w:p>
    <w:p>
      <w:pPr>
        <w:spacing w:line="360" w:lineRule="auto"/>
        <w:ind w:firstLine="565" w:firstLineChars="202"/>
        <w:rPr>
          <w:rFonts w:hAnsi="仿宋" w:eastAsia="仿宋"/>
          <w:sz w:val="28"/>
          <w:szCs w:val="28"/>
        </w:rPr>
      </w:pPr>
      <w:r>
        <w:rPr>
          <w:rFonts w:hint="eastAsia" w:hAnsi="仿宋" w:eastAsia="仿宋"/>
          <w:sz w:val="28"/>
          <w:szCs w:val="28"/>
        </w:rPr>
        <w:t>1.</w:t>
      </w:r>
      <w:r>
        <w:rPr>
          <w:rFonts w:hAnsi="仿宋" w:eastAsia="仿宋"/>
          <w:sz w:val="28"/>
          <w:szCs w:val="28"/>
        </w:rPr>
        <w:t>限售股份上市流通申请表</w:t>
      </w:r>
    </w:p>
    <w:p>
      <w:pPr>
        <w:spacing w:line="360" w:lineRule="auto"/>
        <w:ind w:firstLine="565" w:firstLineChars="202"/>
        <w:rPr>
          <w:rFonts w:eastAsia="仿宋"/>
          <w:sz w:val="28"/>
          <w:szCs w:val="28"/>
        </w:rPr>
      </w:pPr>
      <w:r>
        <w:rPr>
          <w:rFonts w:hint="eastAsia" w:hAnsi="仿宋" w:eastAsia="仿宋"/>
          <w:sz w:val="28"/>
          <w:szCs w:val="28"/>
        </w:rPr>
        <w:t>2.保荐机构核查意见</w:t>
      </w:r>
    </w:p>
    <w:p>
      <w:pPr>
        <w:spacing w:line="360" w:lineRule="auto"/>
        <w:ind w:firstLine="565" w:firstLineChars="202"/>
        <w:rPr>
          <w:rFonts w:eastAsia="仿宋"/>
          <w:sz w:val="28"/>
          <w:szCs w:val="28"/>
        </w:rPr>
      </w:pPr>
    </w:p>
    <w:p>
      <w:pPr>
        <w:spacing w:line="360" w:lineRule="auto"/>
        <w:ind w:firstLine="565" w:firstLineChars="202"/>
        <w:rPr>
          <w:rFonts w:eastAsia="仿宋"/>
          <w:sz w:val="28"/>
          <w:szCs w:val="28"/>
        </w:rPr>
      </w:pPr>
      <w:r>
        <w:rPr>
          <w:rFonts w:hAnsi="仿宋" w:eastAsia="仿宋"/>
          <w:sz w:val="28"/>
          <w:szCs w:val="28"/>
        </w:rPr>
        <w:t>特此公告。</w:t>
      </w:r>
    </w:p>
    <w:p>
      <w:pPr>
        <w:spacing w:line="360" w:lineRule="auto"/>
        <w:ind w:firstLine="565" w:firstLineChars="202"/>
        <w:rPr>
          <w:rFonts w:eastAsia="仿宋"/>
          <w:sz w:val="28"/>
          <w:szCs w:val="28"/>
        </w:rPr>
      </w:pPr>
    </w:p>
    <w:p>
      <w:pPr>
        <w:spacing w:line="360" w:lineRule="auto"/>
        <w:ind w:firstLine="565" w:firstLineChars="202"/>
        <w:jc w:val="right"/>
        <w:rPr>
          <w:rFonts w:hAnsi="仿宋" w:eastAsia="仿宋"/>
          <w:sz w:val="28"/>
          <w:szCs w:val="28"/>
        </w:rPr>
      </w:pPr>
      <w:r>
        <w:rPr>
          <w:rFonts w:hAnsi="仿宋" w:eastAsia="仿宋"/>
          <w:sz w:val="28"/>
          <w:szCs w:val="28"/>
        </w:rPr>
        <w:t>吉林电力股份有限公司董事会</w:t>
      </w:r>
    </w:p>
    <w:p>
      <w:pPr>
        <w:spacing w:line="360" w:lineRule="auto"/>
        <w:ind w:firstLine="565" w:firstLineChars="202"/>
        <w:jc w:val="right"/>
        <w:rPr>
          <w:rFonts w:eastAsia="仿宋"/>
        </w:rPr>
      </w:pPr>
      <w:r>
        <w:rPr>
          <w:rFonts w:hint="eastAsia" w:hAnsi="仿宋" w:eastAsia="仿宋"/>
          <w:sz w:val="28"/>
          <w:szCs w:val="28"/>
        </w:rPr>
        <w:t xml:space="preserve">   </w:t>
      </w:r>
      <w:r>
        <w:rPr>
          <w:rFonts w:hAnsi="仿宋" w:eastAsia="仿宋"/>
          <w:sz w:val="28"/>
          <w:szCs w:val="28"/>
        </w:rPr>
        <w:t>二〇</w:t>
      </w:r>
      <w:r>
        <w:rPr>
          <w:rFonts w:hint="eastAsia" w:hAnsi="仿宋" w:eastAsia="仿宋"/>
          <w:sz w:val="28"/>
          <w:szCs w:val="28"/>
        </w:rPr>
        <w:t>二四</w:t>
      </w:r>
      <w:r>
        <w:rPr>
          <w:rFonts w:hAnsi="仿宋" w:eastAsia="仿宋"/>
          <w:sz w:val="28"/>
          <w:szCs w:val="28"/>
        </w:rPr>
        <w:t>年</w:t>
      </w:r>
      <w:r>
        <w:rPr>
          <w:rFonts w:hint="eastAsia" w:hAnsi="仿宋" w:eastAsia="仿宋"/>
          <w:sz w:val="28"/>
          <w:szCs w:val="28"/>
        </w:rPr>
        <w:t>四</w:t>
      </w:r>
      <w:r>
        <w:rPr>
          <w:rFonts w:hAnsi="仿宋" w:eastAsia="仿宋"/>
          <w:sz w:val="28"/>
          <w:szCs w:val="28"/>
        </w:rPr>
        <w:t>月</w:t>
      </w:r>
      <w:r>
        <w:rPr>
          <w:rFonts w:hint="eastAsia" w:hAnsi="仿宋" w:eastAsia="仿宋"/>
          <w:sz w:val="28"/>
          <w:szCs w:val="28"/>
        </w:rPr>
        <w:t>十</w:t>
      </w:r>
      <w:r>
        <w:rPr>
          <w:rFonts w:hAnsi="仿宋" w:eastAsia="仿宋"/>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B38AD"/>
    <w:multiLevelType w:val="multilevel"/>
    <w:tmpl w:val="1E6B38AD"/>
    <w:lvl w:ilvl="0" w:tentative="0">
      <w:start w:val="1"/>
      <w:numFmt w:val="bullet"/>
      <w:lvlText w:val=""/>
      <w:lvlJc w:val="left"/>
      <w:pPr>
        <w:ind w:left="986" w:hanging="420"/>
      </w:pPr>
      <w:rPr>
        <w:rFonts w:hint="default" w:ascii="Wingdings" w:hAnsi="Wingdings"/>
      </w:rPr>
    </w:lvl>
    <w:lvl w:ilvl="1" w:tentative="0">
      <w:start w:val="1"/>
      <w:numFmt w:val="bullet"/>
      <w:lvlText w:val=""/>
      <w:lvlJc w:val="left"/>
      <w:pPr>
        <w:ind w:left="1406" w:hanging="420"/>
      </w:pPr>
      <w:rPr>
        <w:rFonts w:hint="default" w:ascii="Wingdings" w:hAnsi="Wingdings"/>
      </w:rPr>
    </w:lvl>
    <w:lvl w:ilvl="2" w:tentative="0">
      <w:start w:val="1"/>
      <w:numFmt w:val="bullet"/>
      <w:lvlText w:val=""/>
      <w:lvlJc w:val="left"/>
      <w:pPr>
        <w:ind w:left="1826" w:hanging="420"/>
      </w:pPr>
      <w:rPr>
        <w:rFonts w:hint="default" w:ascii="Wingdings" w:hAnsi="Wingdings"/>
      </w:rPr>
    </w:lvl>
    <w:lvl w:ilvl="3" w:tentative="0">
      <w:start w:val="1"/>
      <w:numFmt w:val="bullet"/>
      <w:lvlText w:val=""/>
      <w:lvlJc w:val="left"/>
      <w:pPr>
        <w:ind w:left="2246" w:hanging="420"/>
      </w:pPr>
      <w:rPr>
        <w:rFonts w:hint="default" w:ascii="Wingdings" w:hAnsi="Wingdings"/>
      </w:rPr>
    </w:lvl>
    <w:lvl w:ilvl="4" w:tentative="0">
      <w:start w:val="1"/>
      <w:numFmt w:val="bullet"/>
      <w:lvlText w:val=""/>
      <w:lvlJc w:val="left"/>
      <w:pPr>
        <w:ind w:left="2666" w:hanging="420"/>
      </w:pPr>
      <w:rPr>
        <w:rFonts w:hint="default" w:ascii="Wingdings" w:hAnsi="Wingdings"/>
      </w:rPr>
    </w:lvl>
    <w:lvl w:ilvl="5" w:tentative="0">
      <w:start w:val="1"/>
      <w:numFmt w:val="bullet"/>
      <w:lvlText w:val=""/>
      <w:lvlJc w:val="left"/>
      <w:pPr>
        <w:ind w:left="3086" w:hanging="420"/>
      </w:pPr>
      <w:rPr>
        <w:rFonts w:hint="default" w:ascii="Wingdings" w:hAnsi="Wingdings"/>
      </w:rPr>
    </w:lvl>
    <w:lvl w:ilvl="6" w:tentative="0">
      <w:start w:val="1"/>
      <w:numFmt w:val="bullet"/>
      <w:lvlText w:val=""/>
      <w:lvlJc w:val="left"/>
      <w:pPr>
        <w:ind w:left="3506" w:hanging="420"/>
      </w:pPr>
      <w:rPr>
        <w:rFonts w:hint="default" w:ascii="Wingdings" w:hAnsi="Wingdings"/>
      </w:rPr>
    </w:lvl>
    <w:lvl w:ilvl="7" w:tentative="0">
      <w:start w:val="1"/>
      <w:numFmt w:val="bullet"/>
      <w:lvlText w:val=""/>
      <w:lvlJc w:val="left"/>
      <w:pPr>
        <w:ind w:left="3926" w:hanging="420"/>
      </w:pPr>
      <w:rPr>
        <w:rFonts w:hint="default" w:ascii="Wingdings" w:hAnsi="Wingdings"/>
      </w:rPr>
    </w:lvl>
    <w:lvl w:ilvl="8" w:tentative="0">
      <w:start w:val="1"/>
      <w:numFmt w:val="bullet"/>
      <w:lvlText w:val=""/>
      <w:lvlJc w:val="left"/>
      <w:pPr>
        <w:ind w:left="434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010F6E"/>
    <w:rsid w:val="000077A2"/>
    <w:rsid w:val="00010F6E"/>
    <w:rsid w:val="000215A3"/>
    <w:rsid w:val="0003799E"/>
    <w:rsid w:val="00052863"/>
    <w:rsid w:val="00062196"/>
    <w:rsid w:val="00066317"/>
    <w:rsid w:val="0007043F"/>
    <w:rsid w:val="000E600A"/>
    <w:rsid w:val="000F0D19"/>
    <w:rsid w:val="00103C73"/>
    <w:rsid w:val="00106E26"/>
    <w:rsid w:val="00170058"/>
    <w:rsid w:val="001A6CCD"/>
    <w:rsid w:val="001B65D2"/>
    <w:rsid w:val="001D1E57"/>
    <w:rsid w:val="001E0C1E"/>
    <w:rsid w:val="001F4BF3"/>
    <w:rsid w:val="001F672C"/>
    <w:rsid w:val="00204BA7"/>
    <w:rsid w:val="00244650"/>
    <w:rsid w:val="00245244"/>
    <w:rsid w:val="00246948"/>
    <w:rsid w:val="00265108"/>
    <w:rsid w:val="002E2802"/>
    <w:rsid w:val="003029B3"/>
    <w:rsid w:val="00311B2A"/>
    <w:rsid w:val="00323D00"/>
    <w:rsid w:val="0032609D"/>
    <w:rsid w:val="003603E3"/>
    <w:rsid w:val="00373BA0"/>
    <w:rsid w:val="0038347D"/>
    <w:rsid w:val="0039160D"/>
    <w:rsid w:val="00391A41"/>
    <w:rsid w:val="003B17E9"/>
    <w:rsid w:val="003E1046"/>
    <w:rsid w:val="003E3B43"/>
    <w:rsid w:val="004105C7"/>
    <w:rsid w:val="0043416D"/>
    <w:rsid w:val="0043594F"/>
    <w:rsid w:val="00436C31"/>
    <w:rsid w:val="0047627A"/>
    <w:rsid w:val="0048295D"/>
    <w:rsid w:val="004A2E5F"/>
    <w:rsid w:val="004B1552"/>
    <w:rsid w:val="004C7257"/>
    <w:rsid w:val="004D064C"/>
    <w:rsid w:val="004D3916"/>
    <w:rsid w:val="004E38EC"/>
    <w:rsid w:val="004E74F8"/>
    <w:rsid w:val="004E752A"/>
    <w:rsid w:val="004F6DBE"/>
    <w:rsid w:val="00534BD1"/>
    <w:rsid w:val="005A16B0"/>
    <w:rsid w:val="005A32D0"/>
    <w:rsid w:val="005B5612"/>
    <w:rsid w:val="005D008B"/>
    <w:rsid w:val="005D40EB"/>
    <w:rsid w:val="005D6F1C"/>
    <w:rsid w:val="00602382"/>
    <w:rsid w:val="006236CF"/>
    <w:rsid w:val="006256FD"/>
    <w:rsid w:val="00632CB9"/>
    <w:rsid w:val="00634C2D"/>
    <w:rsid w:val="00634C3D"/>
    <w:rsid w:val="00637D45"/>
    <w:rsid w:val="00656A3F"/>
    <w:rsid w:val="00681ACD"/>
    <w:rsid w:val="00695BEA"/>
    <w:rsid w:val="006A132C"/>
    <w:rsid w:val="006E5D99"/>
    <w:rsid w:val="006F63C6"/>
    <w:rsid w:val="00703675"/>
    <w:rsid w:val="0072194C"/>
    <w:rsid w:val="0073189F"/>
    <w:rsid w:val="007376A9"/>
    <w:rsid w:val="007747A7"/>
    <w:rsid w:val="00776214"/>
    <w:rsid w:val="00781286"/>
    <w:rsid w:val="0078735A"/>
    <w:rsid w:val="007A3BEA"/>
    <w:rsid w:val="007A5E19"/>
    <w:rsid w:val="007D6393"/>
    <w:rsid w:val="007F6B05"/>
    <w:rsid w:val="008138F0"/>
    <w:rsid w:val="008501C8"/>
    <w:rsid w:val="00892DEA"/>
    <w:rsid w:val="008A7F48"/>
    <w:rsid w:val="008A7F82"/>
    <w:rsid w:val="008C7714"/>
    <w:rsid w:val="008D5A2A"/>
    <w:rsid w:val="009030BA"/>
    <w:rsid w:val="0090595B"/>
    <w:rsid w:val="00910294"/>
    <w:rsid w:val="0093680E"/>
    <w:rsid w:val="00937DEA"/>
    <w:rsid w:val="00951875"/>
    <w:rsid w:val="00951A9F"/>
    <w:rsid w:val="00955075"/>
    <w:rsid w:val="00980B19"/>
    <w:rsid w:val="00983864"/>
    <w:rsid w:val="00993961"/>
    <w:rsid w:val="00997113"/>
    <w:rsid w:val="009A15B0"/>
    <w:rsid w:val="009C0071"/>
    <w:rsid w:val="009C45D0"/>
    <w:rsid w:val="009D5D56"/>
    <w:rsid w:val="009E15E9"/>
    <w:rsid w:val="00A01FAC"/>
    <w:rsid w:val="00A05D3A"/>
    <w:rsid w:val="00A136F3"/>
    <w:rsid w:val="00A160ED"/>
    <w:rsid w:val="00A7335B"/>
    <w:rsid w:val="00A77AF6"/>
    <w:rsid w:val="00AB443F"/>
    <w:rsid w:val="00AF0011"/>
    <w:rsid w:val="00AF0E04"/>
    <w:rsid w:val="00B1406D"/>
    <w:rsid w:val="00B200BB"/>
    <w:rsid w:val="00B30865"/>
    <w:rsid w:val="00B9455A"/>
    <w:rsid w:val="00BA688A"/>
    <w:rsid w:val="00BC69C6"/>
    <w:rsid w:val="00BE1766"/>
    <w:rsid w:val="00BE24FB"/>
    <w:rsid w:val="00BE5024"/>
    <w:rsid w:val="00BF7B0D"/>
    <w:rsid w:val="00C22A7B"/>
    <w:rsid w:val="00C47381"/>
    <w:rsid w:val="00C65D77"/>
    <w:rsid w:val="00C71DBD"/>
    <w:rsid w:val="00CA0C91"/>
    <w:rsid w:val="00CE6F3B"/>
    <w:rsid w:val="00CE7D59"/>
    <w:rsid w:val="00CF4D2B"/>
    <w:rsid w:val="00D1227A"/>
    <w:rsid w:val="00D15234"/>
    <w:rsid w:val="00D217FB"/>
    <w:rsid w:val="00D2692C"/>
    <w:rsid w:val="00D3654C"/>
    <w:rsid w:val="00D412A4"/>
    <w:rsid w:val="00D81FBA"/>
    <w:rsid w:val="00DB72CE"/>
    <w:rsid w:val="00DC0001"/>
    <w:rsid w:val="00DF32A9"/>
    <w:rsid w:val="00E05461"/>
    <w:rsid w:val="00E3152F"/>
    <w:rsid w:val="00E34CCC"/>
    <w:rsid w:val="00E405CB"/>
    <w:rsid w:val="00E43D10"/>
    <w:rsid w:val="00E568D5"/>
    <w:rsid w:val="00E81549"/>
    <w:rsid w:val="00E97DFF"/>
    <w:rsid w:val="00EA6E35"/>
    <w:rsid w:val="00EB730B"/>
    <w:rsid w:val="00EC4365"/>
    <w:rsid w:val="00F53F4A"/>
    <w:rsid w:val="00F54827"/>
    <w:rsid w:val="00FA441D"/>
    <w:rsid w:val="00FB14B3"/>
    <w:rsid w:val="00FB61E3"/>
    <w:rsid w:val="00FF3C3B"/>
    <w:rsid w:val="018C2CE5"/>
    <w:rsid w:val="03496CC6"/>
    <w:rsid w:val="07254E51"/>
    <w:rsid w:val="07507A44"/>
    <w:rsid w:val="081D58D4"/>
    <w:rsid w:val="0D6B3EF3"/>
    <w:rsid w:val="0EDB26DB"/>
    <w:rsid w:val="12E5418D"/>
    <w:rsid w:val="183C2979"/>
    <w:rsid w:val="197513D0"/>
    <w:rsid w:val="235524EC"/>
    <w:rsid w:val="26DD3E56"/>
    <w:rsid w:val="29CD594F"/>
    <w:rsid w:val="2DE26F5C"/>
    <w:rsid w:val="31A873B3"/>
    <w:rsid w:val="325A4702"/>
    <w:rsid w:val="33894992"/>
    <w:rsid w:val="346912F6"/>
    <w:rsid w:val="38000BEF"/>
    <w:rsid w:val="38483D4E"/>
    <w:rsid w:val="38885CE7"/>
    <w:rsid w:val="38D834D0"/>
    <w:rsid w:val="3A932A61"/>
    <w:rsid w:val="3AF76CFD"/>
    <w:rsid w:val="3BE44015"/>
    <w:rsid w:val="3CA81B33"/>
    <w:rsid w:val="3D114578"/>
    <w:rsid w:val="41F20C76"/>
    <w:rsid w:val="44C73686"/>
    <w:rsid w:val="45184901"/>
    <w:rsid w:val="4AEB69B2"/>
    <w:rsid w:val="4FFA4237"/>
    <w:rsid w:val="50973229"/>
    <w:rsid w:val="52D52B55"/>
    <w:rsid w:val="540B66C9"/>
    <w:rsid w:val="570606AD"/>
    <w:rsid w:val="58B34459"/>
    <w:rsid w:val="591E261F"/>
    <w:rsid w:val="5ABA17AD"/>
    <w:rsid w:val="5E72659F"/>
    <w:rsid w:val="5F1867A1"/>
    <w:rsid w:val="63147E55"/>
    <w:rsid w:val="68E03DFC"/>
    <w:rsid w:val="69245194"/>
    <w:rsid w:val="69D3427C"/>
    <w:rsid w:val="6B5A722E"/>
    <w:rsid w:val="6ED8565A"/>
    <w:rsid w:val="6F305D4A"/>
    <w:rsid w:val="70CB6A44"/>
    <w:rsid w:val="72FD1C10"/>
    <w:rsid w:val="78A43AD3"/>
    <w:rsid w:val="7CB6178B"/>
    <w:rsid w:val="7E303B94"/>
    <w:rsid w:val="7F8A0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autoRedefine/>
    <w:qFormat/>
    <w:uiPriority w:val="0"/>
    <w:pPr>
      <w:jc w:val="left"/>
    </w:pPr>
  </w:style>
  <w:style w:type="paragraph" w:styleId="3">
    <w:name w:val="Body Text"/>
    <w:basedOn w:val="1"/>
    <w:autoRedefine/>
    <w:qFormat/>
    <w:uiPriority w:val="0"/>
    <w:pPr>
      <w:spacing w:after="283" w:line="360" w:lineRule="auto"/>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3"/>
    <w:autoRedefine/>
    <w:qFormat/>
    <w:uiPriority w:val="0"/>
    <w:rPr>
      <w:b/>
      <w:bCs/>
    </w:rPr>
  </w:style>
  <w:style w:type="character" w:styleId="10">
    <w:name w:val="page number"/>
    <w:basedOn w:val="9"/>
    <w:autoRedefine/>
    <w:qFormat/>
    <w:uiPriority w:val="0"/>
  </w:style>
  <w:style w:type="character" w:styleId="11">
    <w:name w:val="annotation reference"/>
    <w:autoRedefine/>
    <w:qFormat/>
    <w:uiPriority w:val="0"/>
    <w:rPr>
      <w:sz w:val="21"/>
      <w:szCs w:val="21"/>
    </w:rPr>
  </w:style>
  <w:style w:type="character" w:customStyle="1" w:styleId="12">
    <w:name w:val="批注文字 字符"/>
    <w:link w:val="2"/>
    <w:autoRedefine/>
    <w:qFormat/>
    <w:uiPriority w:val="0"/>
    <w:rPr>
      <w:kern w:val="2"/>
      <w:sz w:val="21"/>
      <w:szCs w:val="24"/>
    </w:rPr>
  </w:style>
  <w:style w:type="character" w:customStyle="1" w:styleId="13">
    <w:name w:val="批注主题 字符"/>
    <w:link w:val="7"/>
    <w:autoRedefine/>
    <w:qFormat/>
    <w:uiPriority w:val="0"/>
    <w:rPr>
      <w:b/>
      <w:bCs/>
      <w:kern w:val="2"/>
      <w:sz w:val="21"/>
      <w:szCs w:val="24"/>
    </w:rPr>
  </w:style>
  <w:style w:type="paragraph" w:customStyle="1" w:styleId="14">
    <w:name w:val="列表段落1"/>
    <w:basedOn w:val="1"/>
    <w:autoRedefine/>
    <w:qFormat/>
    <w:uiPriority w:val="0"/>
    <w:pPr>
      <w:ind w:firstLine="420" w:firstLineChars="200"/>
    </w:pPr>
    <w:rPr>
      <w:rFonts w:ascii="Calibri" w:hAnsi="Calibri"/>
      <w:szCs w:val="22"/>
    </w:rPr>
  </w:style>
  <w:style w:type="paragraph" w:customStyle="1" w:styleId="15">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6">
    <w:name w:val="Char Char2"/>
    <w:basedOn w:val="1"/>
    <w:autoRedefine/>
    <w:qFormat/>
    <w:uiPriority w:val="0"/>
    <w:pPr>
      <w:pageBreakBefore/>
      <w:tabs>
        <w:tab w:val="left" w:pos="432"/>
      </w:tabs>
      <w:ind w:left="432" w:hanging="432"/>
    </w:pPr>
    <w:rPr>
      <w:rFonts w:ascii="Tahoma" w:hAnsi="Tahoma"/>
      <w:sz w:val="24"/>
      <w:szCs w:val="20"/>
    </w:rPr>
  </w:style>
  <w:style w:type="paragraph" w:customStyle="1" w:styleId="17">
    <w:name w:val="Char Char Char Char"/>
    <w:basedOn w:val="1"/>
    <w:autoRedefine/>
    <w:qFormat/>
    <w:uiPriority w:val="0"/>
    <w:rPr>
      <w:szCs w:val="21"/>
    </w:rPr>
  </w:style>
  <w:style w:type="paragraph" w:customStyle="1" w:styleId="18">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442</Words>
  <Characters>2523</Characters>
  <Lines>21</Lines>
  <Paragraphs>5</Paragraphs>
  <TotalTime>0</TotalTime>
  <ScaleCrop>false</ScaleCrop>
  <LinksUpToDate>false</LinksUpToDate>
  <CharactersWithSpaces>2960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2018-01-04T06:21:00Z</dcterms:created>
  <dc:creator>liuyongping</dc:creator>
  <cp:lastModifiedBy>WPS_1591103659</cp:lastModifiedBy>
  <cp:lastPrinted>2018-01-03T03:05:00Z</cp:lastPrinted>
  <dcterms:modified xsi:type="dcterms:W3CDTF">2024-04-03T07:30:43Z</dcterms:modified>
  <dc:title>证券代码：000875            证券简称：吉电股份              公告编号：2015-001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858A063FA4254144867A57CD4784169B_13</vt:lpwstr>
  </property>
</Properties>
</file>