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sz w:val="21"/>
          <w:szCs w:val="21"/>
          <w:u w:val="single"/>
          <w:lang w:val="en-US" w:eastAsia="zh-CN"/>
        </w:rPr>
      </w:pPr>
      <w:r>
        <w:rPr>
          <w:rFonts w:hint="eastAsia" w:ascii="宋体" w:hAnsi="宋体" w:cs="宋体"/>
          <w:sz w:val="21"/>
          <w:szCs w:val="21"/>
        </w:rPr>
        <w:t xml:space="preserve">证券代码：000875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证券简称：吉电股份           </w:t>
      </w:r>
      <w:r>
        <w:rPr>
          <w:rFonts w:hint="eastAsia" w:ascii="宋体" w:hAnsi="宋体" w:cs="宋体"/>
          <w:sz w:val="21"/>
          <w:szCs w:val="21"/>
          <w:lang w:val="en-US" w:eastAsia="zh-CN"/>
        </w:rPr>
        <w:t xml:space="preserve">  </w:t>
      </w:r>
      <w:r>
        <w:rPr>
          <w:rFonts w:hint="eastAsia" w:ascii="宋体" w:hAnsi="宋体" w:cs="宋体"/>
          <w:sz w:val="21"/>
          <w:szCs w:val="21"/>
        </w:rPr>
        <w:t xml:space="preserve">     公告编号：202</w:t>
      </w:r>
      <w:r>
        <w:rPr>
          <w:rFonts w:hint="eastAsia" w:ascii="宋体" w:hAnsi="宋体" w:cs="宋体"/>
          <w:sz w:val="21"/>
          <w:szCs w:val="21"/>
          <w:lang w:val="en-US" w:eastAsia="zh-CN"/>
        </w:rPr>
        <w:t>4-038</w:t>
      </w:r>
    </w:p>
    <w:p>
      <w:pPr>
        <w:jc w:val="center"/>
        <w:rPr>
          <w:rFonts w:ascii="宋体" w:hAnsi="宋体" w:cs="宋体"/>
          <w:color w:val="FF6600"/>
          <w:sz w:val="18"/>
          <w:szCs w:val="18"/>
        </w:rPr>
      </w:pPr>
      <w:r>
        <w:rPr>
          <w:rFonts w:ascii="宋体" w:hAnsi="宋体" w:cs="宋体"/>
          <w:color w:val="FF6600"/>
          <w:sz w:val="18"/>
          <w:szCs w:val="18"/>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-4445</wp:posOffset>
                </wp:positionV>
                <wp:extent cx="6172200" cy="45720"/>
                <wp:effectExtent l="0" t="28575" r="15240" b="32385"/>
                <wp:wrapNone/>
                <wp:docPr id="1" name="直接连接符 1"/>
                <wp:cNvGraphicFramePr/>
                <a:graphic xmlns:a="http://schemas.openxmlformats.org/drawingml/2006/main">
                  <a:graphicData uri="http://schemas.microsoft.com/office/word/2010/wordprocessingShape">
                    <wps:wsp>
                      <wps:cNvCnPr/>
                      <wps:spPr>
                        <a:xfrm flipV="1">
                          <a:off x="0" y="0"/>
                          <a:ext cx="6172200" cy="45720"/>
                        </a:xfrm>
                        <a:prstGeom prst="line">
                          <a:avLst/>
                        </a:prstGeom>
                        <a:ln w="57150" cap="flat" cmpd="thinThick">
                          <a:solidFill>
                            <a:srgbClr val="FF6600"/>
                          </a:solidFill>
                          <a:prstDash val="solid"/>
                          <a:headEnd type="none" w="med" len="med"/>
                          <a:tailEnd type="none" w="med" len="med"/>
                        </a:ln>
                      </wps:spPr>
                      <wps:bodyPr/>
                    </wps:wsp>
                  </a:graphicData>
                </a:graphic>
              </wp:anchor>
            </w:drawing>
          </mc:Choice>
          <mc:Fallback>
            <w:pict>
              <v:line id="_x0000_s1026" o:spid="_x0000_s1026" o:spt="20" style="position:absolute;left:0pt;flip:y;margin-left:-5.65pt;margin-top:-0.35pt;height:3.6pt;width:486pt;z-index:251659264;mso-width-relative:page;mso-height-relative:page;" filled="f" stroked="t" coordsize="21600,21600" o:gfxdata="UEsDBAoAAAAAAIdO4kAAAAAAAAAAAAAAAAAEAAAAZHJzL1BLAwQUAAAACACHTuJANmiTI9MAAAAH&#10;AQAADwAAAGRycy9kb3ducmV2LnhtbE2OMU/DMBSEdyT+g/WQ2FrbQQQIcTogMbAgSJFY3dhNotrP&#10;Vuyk6b/nMcF2pzvdffVu9Y4tdkpjQAVyK4BZ7IIZsVfwtX/dPAJLWaPRLqBVcLEJds31Va0rE874&#10;aZc294xGMFVawZBzrDhP3WC9TtsQLVJ2DJPXmezUczPpM417xwshSu71iPQw6GhfBtud2tkraFcR&#10;I3fvJz/L7yK+LZfi49gqdXsjxTOwbNf8V4ZffEKHhpgOYUaTmFOwkfKOqiQegFH+VAoSBwXlPfCm&#10;5v/5mx9QSwMEFAAAAAgAh07iQKKRrqr9AQAA7QMAAA4AAABkcnMvZTJvRG9jLnhtbK1TvY4TMRDu&#10;kXgHyz3ZbEQStMrmiguhQRCJg37in6yF/2T7sslL8AJIdFBR0t/bcDwGY28IcDQpaKzxePzNfJ8/&#10;L64ORpO9CFE529J6NKZEWOa4sruWvr1ZP3lGSUxgOWhnRUuPItKr5eNHi943YuI6p7kIBEFsbHrf&#10;0i4l31RVZJ0wEEfOC4uH0gUDCbdhV/EAPaIbXU3G41nVu8B9cEzEiNnVcEhPiOESQCelYmLl2K0R&#10;Ng2oQWhISCl2yke6LNNKKVh6LWUUieiWItNUVmyC8Tav1XIBzS6A7xQ7jQCXjPCAkwFlsekZagUJ&#10;yG1Q/0AZxYKLTqYRc6YaiBRFkEU9fqDNmw68KFxQ6ujPosf/B8te7TeBKI5OoMSCwQe///jt+4fP&#10;P+4+4Xr/9Qups0i9jw3WXttNOO2i34TM+CCDIVIr/y5j5AyyIoci8fEssTgkwjA5q+cTdAElDM+e&#10;TueT8gTVAJMv+xDTC+EMyUFLtbJZAWhg/zImbI2lv0pyWlvSt3Q6r6cZE9CPEn2AofHIKXXK3uDL&#10;vi8Q0WnF10rrfDGG3fZaB7IHdMZ6PZvhUAP8X2W51wpiN9SVo8EznQD+3HKSjh41s/hVaJ7ECE6J&#10;FvizcoSA0CRQ+pJKZKYtEsxSD+LmaOv4sWhe8uiCIsHJsdlmf+7L7d+/dP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miTI9MAAAAHAQAADwAAAAAAAAABACAAAAAiAAAAZHJzL2Rvd25yZXYueG1s&#10;UEsBAhQAFAAAAAgAh07iQKKRrqr9AQAA7QMAAA4AAAAAAAAAAQAgAAAAIgEAAGRycy9lMm9Eb2Mu&#10;eG1sUEsFBgAAAAAGAAYAWQEAAJEFAAAAAA==&#10;">
                <v:fill on="f" focussize="0,0"/>
                <v:stroke weight="4.5pt" color="#FF6600" linestyle="thinThick" joinstyle="round"/>
                <v:imagedata o:title=""/>
                <o:lock v:ext="edit" aspectratio="f"/>
              </v:line>
            </w:pict>
          </mc:Fallback>
        </mc:AlternateContent>
      </w:r>
    </w:p>
    <w:p>
      <w:pPr>
        <w:ind w:firstLine="2640" w:firstLineChars="600"/>
        <w:jc w:val="both"/>
        <w:rPr>
          <w:rFonts w:ascii="宋体" w:hAnsi="宋体" w:cs="宋体"/>
          <w:b/>
          <w:sz w:val="44"/>
          <w:szCs w:val="44"/>
        </w:rPr>
      </w:pPr>
      <w:r>
        <w:rPr>
          <w:rFonts w:hint="eastAsia" w:ascii="宋体" w:hAnsi="宋体" w:cs="宋体"/>
          <w:b/>
          <w:sz w:val="44"/>
          <w:szCs w:val="44"/>
        </w:rPr>
        <w:t>吉林电力股份有限公司</w:t>
      </w:r>
    </w:p>
    <w:p>
      <w:pPr>
        <w:spacing w:before="200" w:after="200"/>
        <w:jc w:val="center"/>
        <w:rPr>
          <w:rFonts w:ascii="宋体" w:hAnsi="宋体" w:cs="宋体"/>
          <w:b/>
          <w:sz w:val="40"/>
          <w:szCs w:val="40"/>
        </w:rPr>
      </w:pPr>
      <w:r>
        <w:rPr>
          <w:rFonts w:hint="eastAsia" w:ascii="宋体" w:hAnsi="宋体" w:cs="宋体"/>
          <w:b/>
          <w:sz w:val="44"/>
          <w:szCs w:val="44"/>
        </w:rPr>
        <w:t>202</w:t>
      </w:r>
      <w:r>
        <w:rPr>
          <w:rFonts w:hint="eastAsia" w:ascii="宋体" w:hAnsi="宋体" w:cs="宋体"/>
          <w:b/>
          <w:sz w:val="44"/>
          <w:szCs w:val="44"/>
          <w:lang w:val="en-US" w:eastAsia="zh-CN"/>
        </w:rPr>
        <w:t>4</w:t>
      </w:r>
      <w:r>
        <w:rPr>
          <w:rFonts w:hint="eastAsia" w:ascii="宋体" w:hAnsi="宋体" w:cs="宋体"/>
          <w:b/>
          <w:sz w:val="44"/>
          <w:szCs w:val="44"/>
        </w:rPr>
        <w:t>年第</w:t>
      </w:r>
      <w:r>
        <w:rPr>
          <w:rFonts w:hint="eastAsia" w:ascii="宋体" w:hAnsi="宋体" w:cs="宋体"/>
          <w:b/>
          <w:sz w:val="44"/>
          <w:szCs w:val="44"/>
          <w:lang w:val="en-US" w:eastAsia="zh-CN"/>
        </w:rPr>
        <w:t>一</w:t>
      </w:r>
      <w:r>
        <w:rPr>
          <w:rFonts w:hint="eastAsia" w:ascii="宋体" w:hAnsi="宋体" w:cs="宋体"/>
          <w:b/>
          <w:sz w:val="44"/>
          <w:szCs w:val="44"/>
        </w:rPr>
        <w:t>季度报告</w:t>
      </w:r>
    </w:p>
    <w:p>
      <w:pPr>
        <w:spacing w:line="360" w:lineRule="auto"/>
        <w:ind w:firstLine="560" w:firstLineChars="200"/>
        <w:rPr>
          <w:rFonts w:hint="eastAsia" w:eastAsia="仿宋"/>
          <w:b/>
          <w:sz w:val="28"/>
          <w:szCs w:val="24"/>
        </w:rPr>
      </w:pPr>
    </w:p>
    <w:p>
      <w:pPr>
        <w:spacing w:line="360" w:lineRule="auto"/>
        <w:ind w:firstLine="560" w:firstLineChars="200"/>
        <w:rPr>
          <w:rFonts w:eastAsia="Times New Roman"/>
          <w:b/>
          <w:sz w:val="28"/>
          <w:szCs w:val="24"/>
        </w:rPr>
      </w:pPr>
      <w:r>
        <w:rPr>
          <w:rFonts w:hint="eastAsia" w:eastAsia="仿宋"/>
          <w:b/>
          <w:sz w:val="28"/>
          <w:szCs w:val="24"/>
        </w:rPr>
        <w:t>本公司及董事会全体成员保证信息披露内容的真实、准确和完整，没有虚假记载、误导性陈述或重大遗漏。</w:t>
      </w:r>
    </w:p>
    <w:p>
      <w:pPr>
        <w:spacing w:before="40" w:after="40" w:line="420" w:lineRule="exact"/>
        <w:jc w:val="left"/>
        <w:rPr>
          <w:rFonts w:ascii="仿宋" w:hAnsi="仿宋" w:eastAsia="仿宋" w:cs="仿宋"/>
          <w:b/>
          <w:bCs/>
          <w:sz w:val="28"/>
          <w:szCs w:val="28"/>
        </w:rPr>
      </w:pPr>
    </w:p>
    <w:p>
      <w:pPr>
        <w:spacing w:before="40" w:after="40" w:line="500" w:lineRule="exact"/>
        <w:ind w:firstLine="560" w:firstLineChars="200"/>
        <w:jc w:val="left"/>
        <w:rPr>
          <w:rFonts w:ascii="仿宋" w:hAnsi="仿宋" w:eastAsia="仿宋" w:cs="仿宋"/>
          <w:b/>
          <w:bCs/>
          <w:sz w:val="28"/>
          <w:szCs w:val="28"/>
        </w:rPr>
      </w:pPr>
      <w:r>
        <w:rPr>
          <w:rFonts w:hint="eastAsia" w:ascii="仿宋" w:hAnsi="仿宋" w:eastAsia="仿宋" w:cs="仿宋"/>
          <w:b/>
          <w:bCs/>
          <w:sz w:val="28"/>
          <w:szCs w:val="28"/>
        </w:rPr>
        <w:t>重要内容提示：</w:t>
      </w:r>
    </w:p>
    <w:p>
      <w:pPr>
        <w:spacing w:before="100" w:after="100"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1.董事会、监事会及董事、监事、高级管理人员保证季度报告的真实、准确、完整，不存在虚假记载、误导性陈述或重大遗漏，并承担个别和连带的法律责任。</w:t>
      </w:r>
    </w:p>
    <w:p>
      <w:pPr>
        <w:spacing w:before="100" w:after="100"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2.公司负责人、主管会计工作负责人及会计机构负责人(会计主管人员)声明：保证季度报告中财务信息的真实、准确、完整。</w:t>
      </w:r>
    </w:p>
    <w:p>
      <w:pPr>
        <w:spacing w:before="100" w:after="100"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3.第一季度报告是否经审计</w:t>
      </w:r>
    </w:p>
    <w:p>
      <w:pPr>
        <w:spacing w:before="100" w:after="100"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□是 </w:t>
      </w:r>
      <w:r>
        <w:rPr>
          <w:rFonts w:hint="eastAsia" w:ascii="仿宋" w:hAnsi="仿宋" w:eastAsia="仿宋" w:cs="仿宋"/>
          <w:sz w:val="28"/>
          <w:szCs w:val="28"/>
        </w:rPr>
        <w:sym w:font="Wingdings 2" w:char="F052"/>
      </w:r>
      <w:r>
        <w:rPr>
          <w:rFonts w:hint="eastAsia" w:ascii="仿宋" w:hAnsi="仿宋" w:eastAsia="仿宋" w:cs="仿宋"/>
          <w:sz w:val="28"/>
          <w:szCs w:val="28"/>
        </w:rPr>
        <w:t>否</w:t>
      </w:r>
    </w:p>
    <w:p>
      <w:r>
        <w:br w:type="page"/>
      </w:r>
    </w:p>
    <w:p>
      <w:pPr>
        <w:keepNext/>
        <w:keepLines/>
        <w:spacing w:before="300" w:after="300" w:line="320" w:lineRule="exact"/>
        <w:jc w:val="left"/>
        <w:outlineLvl w:val="0"/>
        <w:rPr>
          <w:rFonts w:hint="eastAsia" w:ascii="仿宋" w:hAnsi="仿宋" w:eastAsia="仿宋" w:cs="仿宋"/>
          <w:b/>
          <w:bCs/>
          <w:sz w:val="28"/>
          <w:szCs w:val="28"/>
          <w:lang w:val="en-US" w:eastAsia="zh-CN" w:bidi="ar-SA"/>
        </w:rPr>
      </w:pPr>
      <w:bookmarkStart w:id="0" w:name="_Toc988889"/>
      <w:r>
        <w:rPr>
          <w:rFonts w:hint="eastAsia" w:ascii="仿宋" w:hAnsi="仿宋" w:eastAsia="仿宋" w:cs="仿宋"/>
          <w:b/>
          <w:bCs/>
          <w:sz w:val="28"/>
          <w:szCs w:val="28"/>
          <w:lang w:val="en-US" w:eastAsia="zh-CN" w:bidi="ar-SA"/>
        </w:rPr>
        <w:t>一、主要财务数据</w:t>
      </w:r>
      <w:bookmarkEnd w:id="0"/>
    </w:p>
    <w:p>
      <w:pPr>
        <w:keepNext/>
        <w:keepLines/>
        <w:spacing w:before="300" w:after="300" w:line="320" w:lineRule="exact"/>
        <w:jc w:val="left"/>
        <w:outlineLvl w:val="0"/>
        <w:rPr>
          <w:rFonts w:hint="eastAsia" w:ascii="仿宋" w:hAnsi="仿宋" w:eastAsia="仿宋" w:cs="仿宋"/>
          <w:b/>
          <w:bCs/>
          <w:sz w:val="28"/>
          <w:szCs w:val="28"/>
          <w:lang w:val="en-US" w:eastAsia="zh-CN" w:bidi="ar-SA"/>
        </w:rPr>
      </w:pPr>
      <w:bookmarkStart w:id="1" w:name="_Toc988890"/>
      <w:r>
        <w:rPr>
          <w:rFonts w:hint="eastAsia" w:ascii="仿宋" w:hAnsi="仿宋" w:eastAsia="仿宋" w:cs="仿宋"/>
          <w:b/>
          <w:bCs/>
          <w:sz w:val="28"/>
          <w:szCs w:val="28"/>
          <w:lang w:val="en-US" w:eastAsia="zh-CN" w:bidi="ar-SA"/>
        </w:rPr>
        <w:t>（一） 主要会计数据和财务指标</w:t>
      </w:r>
      <w:bookmarkEnd w:id="1"/>
    </w:p>
    <w:p>
      <w:pPr>
        <w:keepNext/>
        <w:keepLines/>
        <w:spacing w:before="300" w:after="300" w:line="320" w:lineRule="exact"/>
        <w:jc w:val="left"/>
        <w:outlineLvl w:val="0"/>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公司是否需追溯调整或重述以前年度会计数据</w:t>
      </w:r>
    </w:p>
    <w:p>
      <w:pPr>
        <w:keepNext/>
        <w:keepLines/>
        <w:spacing w:before="300" w:after="300" w:line="320" w:lineRule="exact"/>
        <w:jc w:val="left"/>
        <w:outlineLvl w:val="0"/>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 xml:space="preserve">□是 </w:t>
      </w:r>
      <w:r>
        <w:rPr>
          <w:rFonts w:hint="eastAsia" w:ascii="仿宋" w:hAnsi="仿宋" w:eastAsia="仿宋" w:cs="仿宋"/>
          <w:b w:val="0"/>
          <w:bCs w:val="0"/>
          <w:sz w:val="28"/>
          <w:szCs w:val="28"/>
          <w:lang w:val="en-US" w:eastAsia="zh-CN" w:bidi="ar-SA"/>
        </w:rPr>
        <w:sym w:font="Wingdings 2" w:char="F052"/>
      </w:r>
      <w:r>
        <w:rPr>
          <w:rFonts w:hint="eastAsia" w:ascii="仿宋" w:hAnsi="仿宋" w:eastAsia="仿宋" w:cs="仿宋"/>
          <w:b w:val="0"/>
          <w:bCs w:val="0"/>
          <w:sz w:val="28"/>
          <w:szCs w:val="28"/>
          <w:lang w:val="en-US" w:eastAsia="zh-CN" w:bidi="ar-SA"/>
        </w:rPr>
        <w:t>否</w:t>
      </w:r>
    </w:p>
    <w:tbl>
      <w:tblPr>
        <w:tblStyle w:val="5"/>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本报告期比上年同期增减（%）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营业收入（元）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3,814,604,503.96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4,024,463,565.67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归属于上市公司股东的净利润（元）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618,572,713.91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503,150,056.85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归属于上市公司股东的扣除非经常性损益的净利润（元）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572,531,391.82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487,644,397.74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经营活动产生的现金流量净额（元）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636,430,434.61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700,691,432.10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基本每股收益（元/股）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稀释每股收益（元/股）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加权平均净资产收益率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上年度末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本报告期末比上年度末增减（%）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总资产（元）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77,843,019,225.05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76,751,385,583.28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归属于上市公司股东的所有者权益（元）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12,446,591,883.52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11,798,504,627.00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5.49%</w:t>
            </w:r>
          </w:p>
        </w:tc>
      </w:tr>
    </w:tbl>
    <w:p>
      <w:pPr>
        <w:spacing w:before="0" w:after="0" w:line="0" w:lineRule="exact"/>
        <w:jc w:val="left"/>
      </w:pPr>
    </w:p>
    <w:p>
      <w:pPr>
        <w:spacing w:before="0" w:after="0" w:line="0" w:lineRule="exact"/>
        <w:jc w:val="left"/>
      </w:pPr>
    </w:p>
    <w:p>
      <w:pPr>
        <w:keepNext/>
        <w:keepLines/>
        <w:spacing w:before="300" w:after="300" w:line="320" w:lineRule="exact"/>
        <w:jc w:val="left"/>
        <w:outlineLvl w:val="0"/>
        <w:rPr>
          <w:rFonts w:hint="eastAsia" w:ascii="仿宋" w:hAnsi="仿宋" w:eastAsia="仿宋" w:cs="仿宋"/>
          <w:b/>
          <w:bCs/>
          <w:sz w:val="28"/>
          <w:szCs w:val="28"/>
          <w:lang w:val="en-US" w:eastAsia="zh-CN" w:bidi="ar-SA"/>
        </w:rPr>
      </w:pPr>
      <w:bookmarkStart w:id="2" w:name="_Toc988891"/>
      <w:r>
        <w:rPr>
          <w:rFonts w:hint="eastAsia" w:ascii="仿宋" w:hAnsi="仿宋" w:eastAsia="仿宋" w:cs="仿宋"/>
          <w:b/>
          <w:bCs/>
          <w:sz w:val="28"/>
          <w:szCs w:val="28"/>
          <w:lang w:val="en-US" w:eastAsia="zh-CN" w:bidi="ar-SA"/>
        </w:rPr>
        <w:t>（二） 非经常性损益项目和金额</w:t>
      </w:r>
      <w:bookmarkEnd w:id="2"/>
    </w:p>
    <w:p>
      <w:pPr>
        <w:keepNext/>
        <w:keepLines/>
        <w:spacing w:before="300" w:after="300" w:line="320" w:lineRule="exact"/>
        <w:jc w:val="left"/>
        <w:outlineLvl w:val="0"/>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sym w:font="Wingdings 2" w:char="F052"/>
      </w:r>
      <w:r>
        <w:rPr>
          <w:rFonts w:hint="eastAsia" w:ascii="仿宋" w:hAnsi="仿宋" w:eastAsia="仿宋" w:cs="仿宋"/>
          <w:b w:val="0"/>
          <w:bCs w:val="0"/>
          <w:sz w:val="28"/>
          <w:szCs w:val="28"/>
          <w:lang w:val="en-US" w:eastAsia="zh-CN" w:bidi="ar-SA"/>
        </w:rPr>
        <w:t>适用 □不适用</w:t>
      </w:r>
    </w:p>
    <w:p>
      <w:pPr>
        <w:spacing w:before="0" w:after="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非流动性资产处置损益（包括已计提资产减值准备的冲销部分）</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57,985.95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主要系报告期本公司处置资产影响。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计入当期损益的政府补助（与公司正常经营业务密切相关、符合国家政策规定、按照确定的标准享有、对公司损益产生持续影响的政府补助除外）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1,713,804.00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主要系报告期本公司收到补贴、奖励影响。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除上述各项之外的其他营业外收入和支出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54,598,800.40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主要系报告期哈电风能有限公司对吉电（滁州）章广风力发电有限公司、辉县市吉电新能源有限公司、云南丰晟电力有限公司的叶片质量问题造成经济损失补偿款。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其他符合非经常性损益定义的损益项目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主要是退伍军人减免政策影响。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减：所得税影响额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7,918,543.82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少数股东权益影响额（税后）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2,424,224.44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46,041,322.09</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其他符合非经常性损益定义的损益项目的具体情况</w:t>
      </w:r>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公司不存在其他符合非经常性损益定义的损益项目的具体情况。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将《公开发行证券的公司信息披露解释性公告第1号——非经常性损益》中列举的非经常性损益项目界定为经常性损益项目的情况说明
</w:t>
      </w:r>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0" w:after="0" w:line="240" w:lineRule="exact"/>
        <w:jc w:val="left"/>
        <w:rPr>
          <w:rFonts w:ascii="宋体" w:hAnsi="宋体" w:eastAsia="宋体" w:cs="宋体"/>
          <w:sz w:val="18"/>
          <w:szCs w:val="18"/>
        </w:rPr>
      </w:pPr>
      <w:r>
        <w:rPr>
          <w:rFonts w:ascii="宋体" w:hAnsi="宋体" w:eastAsia="宋体" w:cs="宋体"/>
          <w:sz w:val="18"/>
          <w:szCs w:val="18"/>
        </w:rPr>
        <w:t>公司不存在将《公开发行证券的公司信息披露解释性公告第1号——非经常性损益》中列举的非经常性损益项目界定为经常性损益的项目的情形。</w:t>
      </w:r>
    </w:p>
    <w:p>
      <w:pPr>
        <w:keepNext/>
        <w:keepLines/>
        <w:numPr>
          <w:ilvl w:val="0"/>
          <w:numId w:val="0"/>
        </w:numPr>
        <w:spacing w:before="300" w:after="300" w:line="280" w:lineRule="exact"/>
        <w:ind w:leftChars="0"/>
        <w:jc w:val="left"/>
        <w:outlineLvl w:val="1"/>
        <w:rPr>
          <w:rFonts w:hint="eastAsia" w:ascii="仿宋" w:hAnsi="仿宋" w:eastAsia="仿宋" w:cs="仿宋"/>
          <w:b/>
          <w:bCs/>
          <w:sz w:val="28"/>
          <w:szCs w:val="28"/>
          <w:lang w:val="en-US" w:eastAsia="zh-CN" w:bidi="ar-SA"/>
        </w:rPr>
      </w:pPr>
      <w:bookmarkStart w:id="3" w:name="_Toc988892"/>
      <w:r>
        <w:rPr>
          <w:rFonts w:hint="eastAsia" w:ascii="仿宋" w:hAnsi="仿宋" w:eastAsia="仿宋" w:cs="仿宋"/>
          <w:b/>
          <w:bCs/>
          <w:sz w:val="28"/>
          <w:szCs w:val="28"/>
          <w:lang w:val="en-US" w:eastAsia="zh-CN" w:bidi="ar-SA"/>
        </w:rPr>
        <w:t>（三） 主要会计数据和财务指标发生变动的情况及原因</w:t>
      </w:r>
      <w:bookmarkEnd w:id="3"/>
    </w:p>
    <w:p>
      <w:pPr>
        <w:spacing w:before="0" w:after="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5"/>
        <w:tblW w:w="96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13"/>
        <w:gridCol w:w="1563"/>
        <w:gridCol w:w="1660"/>
        <w:gridCol w:w="664"/>
        <w:gridCol w:w="3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13" w:type="dxa"/>
            <w:tcBorders>
              <w:top w:val="single" w:color="auto" w:sz="8" w:space="0"/>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Style w:val="7"/>
                <w:rFonts w:hint="eastAsia" w:ascii="宋体" w:hAnsi="宋体" w:eastAsia="宋体" w:cs="宋体"/>
                <w:sz w:val="15"/>
                <w:szCs w:val="15"/>
              </w:rPr>
              <w:t>资产负债表项目</w:t>
            </w:r>
          </w:p>
        </w:tc>
        <w:tc>
          <w:tcPr>
            <w:tcW w:w="1563" w:type="dxa"/>
            <w:tcBorders>
              <w:top w:val="single" w:color="auto" w:sz="8" w:space="0"/>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Style w:val="7"/>
                <w:rFonts w:hint="eastAsia" w:ascii="宋体" w:hAnsi="宋体" w:eastAsia="宋体" w:cs="宋体"/>
                <w:sz w:val="15"/>
                <w:szCs w:val="15"/>
              </w:rPr>
              <w:t>2024年3月31日余额</w:t>
            </w:r>
          </w:p>
        </w:tc>
        <w:tc>
          <w:tcPr>
            <w:tcW w:w="1660" w:type="dxa"/>
            <w:tcBorders>
              <w:top w:val="single" w:color="auto" w:sz="8" w:space="0"/>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Style w:val="7"/>
                <w:rFonts w:hint="eastAsia" w:ascii="宋体" w:hAnsi="宋体" w:eastAsia="宋体" w:cs="宋体"/>
                <w:sz w:val="15"/>
                <w:szCs w:val="15"/>
              </w:rPr>
              <w:t>2023年12月31日余额</w:t>
            </w:r>
          </w:p>
        </w:tc>
        <w:tc>
          <w:tcPr>
            <w:tcW w:w="664" w:type="dxa"/>
            <w:tcBorders>
              <w:top w:val="single" w:color="auto" w:sz="8" w:space="0"/>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Style w:val="7"/>
                <w:rFonts w:hint="eastAsia" w:ascii="宋体" w:hAnsi="宋体" w:eastAsia="宋体" w:cs="宋体"/>
                <w:sz w:val="15"/>
                <w:szCs w:val="15"/>
              </w:rPr>
              <w:t>变动比例</w:t>
            </w:r>
          </w:p>
        </w:tc>
        <w:tc>
          <w:tcPr>
            <w:tcW w:w="3361" w:type="dxa"/>
            <w:tcBorders>
              <w:top w:val="single" w:color="auto" w:sz="8" w:space="0"/>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Style w:val="7"/>
                <w:rFonts w:hint="eastAsia" w:ascii="宋体" w:hAnsi="宋体" w:eastAsia="宋体" w:cs="宋体"/>
                <w:sz w:val="15"/>
                <w:szCs w:val="15"/>
              </w:rPr>
              <w:t>变动原因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sz w:val="15"/>
                <w:szCs w:val="15"/>
              </w:rPr>
              <w:t>应收票据</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44,486,173.94</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74,334,035.63</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-40.15%</w:t>
            </w:r>
          </w:p>
        </w:tc>
        <w:tc>
          <w:tcPr>
            <w:tcW w:w="336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主要系票据支付煤款影响。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合同负债</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64,190,396.95</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390,395,891.87</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-84.59%</w:t>
            </w:r>
          </w:p>
        </w:tc>
        <w:tc>
          <w:tcPr>
            <w:tcW w:w="336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主要系预收热费减少影响。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sz w:val="15"/>
                <w:szCs w:val="15"/>
              </w:rPr>
              <w:t>应付职工薪酬</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107,925,608.45</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68,958,525.53</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56.51%</w:t>
            </w:r>
          </w:p>
        </w:tc>
        <w:tc>
          <w:tcPr>
            <w:tcW w:w="336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主要系预提人工成本增加影响。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sz w:val="15"/>
                <w:szCs w:val="15"/>
              </w:rPr>
              <w:t>应交税费</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240,808,255.30</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182,152,512.20</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32.20%</w:t>
            </w:r>
          </w:p>
        </w:tc>
        <w:tc>
          <w:tcPr>
            <w:tcW w:w="336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主要系新能源企业税收优惠到期影响。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sz w:val="15"/>
                <w:szCs w:val="15"/>
              </w:rPr>
              <w:t>其他流动负债</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16,744,295.62</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731,892,728.37</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-97.71%</w:t>
            </w:r>
          </w:p>
        </w:tc>
        <w:tc>
          <w:tcPr>
            <w:tcW w:w="336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主要系偿还超短融资债券影响。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sz w:val="15"/>
                <w:szCs w:val="15"/>
              </w:rPr>
              <w:t>专项储备</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52,609,915.43</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23,095,372.82</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127.79%</w:t>
            </w:r>
          </w:p>
        </w:tc>
        <w:tc>
          <w:tcPr>
            <w:tcW w:w="336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主要系计提安全生产费影响。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sz w:val="15"/>
                <w:szCs w:val="15"/>
              </w:rPr>
              <w:t>未分配利润</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2,454,714,301.48</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1,836,141,587.57</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33.69%</w:t>
            </w:r>
          </w:p>
        </w:tc>
        <w:tc>
          <w:tcPr>
            <w:tcW w:w="336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主要系企业盈利增加影响。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Style w:val="7"/>
                <w:rFonts w:hint="eastAsia" w:ascii="宋体" w:hAnsi="宋体" w:eastAsia="宋体" w:cs="宋体"/>
                <w:sz w:val="15"/>
                <w:szCs w:val="15"/>
              </w:rPr>
              <w:t>利润表项目</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Style w:val="7"/>
                <w:rFonts w:hint="eastAsia" w:ascii="宋体" w:hAnsi="宋体" w:eastAsia="宋体" w:cs="宋体"/>
                <w:sz w:val="15"/>
                <w:szCs w:val="15"/>
              </w:rPr>
              <w:t>2024年1-3月发生额</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Style w:val="7"/>
                <w:rFonts w:hint="eastAsia" w:ascii="宋体" w:hAnsi="宋体" w:eastAsia="宋体" w:cs="宋体"/>
                <w:sz w:val="15"/>
                <w:szCs w:val="15"/>
              </w:rPr>
              <w:t>2023年1-3月发生额</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Style w:val="7"/>
                <w:rFonts w:hint="eastAsia" w:ascii="宋体" w:hAnsi="宋体" w:eastAsia="宋体" w:cs="宋体"/>
                <w:sz w:val="15"/>
                <w:szCs w:val="15"/>
              </w:rPr>
              <w:t>变动比例</w:t>
            </w:r>
          </w:p>
        </w:tc>
        <w:tc>
          <w:tcPr>
            <w:tcW w:w="336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Style w:val="7"/>
                <w:rFonts w:hint="eastAsia" w:ascii="宋体" w:hAnsi="宋体" w:eastAsia="宋体" w:cs="宋体"/>
                <w:sz w:val="15"/>
                <w:szCs w:val="15"/>
              </w:rPr>
              <w:t>变动原因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sz w:val="15"/>
                <w:szCs w:val="15"/>
              </w:rPr>
              <w:t>研发费用</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4,364,199.94</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2,634,414.94</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65.66%</w:t>
            </w:r>
          </w:p>
        </w:tc>
        <w:tc>
          <w:tcPr>
            <w:tcW w:w="336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主要系科技研发投入增加影响。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sz w:val="15"/>
                <w:szCs w:val="15"/>
              </w:rPr>
              <w:t>其他收益</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11,633,463.43</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17,066,549.87</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-31.83%</w:t>
            </w:r>
          </w:p>
        </w:tc>
        <w:tc>
          <w:tcPr>
            <w:tcW w:w="336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主要系收到增值税返还减少影响。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sz w:val="15"/>
                <w:szCs w:val="15"/>
              </w:rPr>
              <w:t>投资收益（损失以“－”号填列）</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21,065,841.51</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-1,496,226.59</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1507.93%</w:t>
            </w:r>
          </w:p>
        </w:tc>
        <w:tc>
          <w:tcPr>
            <w:tcW w:w="336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主要系去年参股单位亏损影响。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sz w:val="15"/>
                <w:szCs w:val="15"/>
              </w:rPr>
              <w:t>信用减值损失</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1,004,064.24</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555,461.47</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80.76%</w:t>
            </w:r>
          </w:p>
        </w:tc>
        <w:tc>
          <w:tcPr>
            <w:tcW w:w="336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主要系云南丰晟电力有限公司按照协议确认哈电风能有限公司电量索赔事宜，并转回坏账影响。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sz w:val="15"/>
                <w:szCs w:val="15"/>
              </w:rPr>
              <w:t>资产处置收益（损失以“-”号填列）</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57,985.95</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331,196.30</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-82.49%</w:t>
            </w:r>
          </w:p>
        </w:tc>
        <w:tc>
          <w:tcPr>
            <w:tcW w:w="336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主要系固定资产处置减少影响。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sz w:val="15"/>
                <w:szCs w:val="15"/>
              </w:rPr>
              <w:t>营业外收入</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54,599,708.00</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23,697,337.46</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130.40%</w:t>
            </w:r>
          </w:p>
        </w:tc>
        <w:tc>
          <w:tcPr>
            <w:tcW w:w="336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主要系报告期哈电风能有限公司对吉电（滁州）章广风力发电有限公司、辉县市吉电新能源有限公司、云南丰晟电力有限公司的叶片质量问题造成经济损失补偿款。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Style w:val="7"/>
                <w:rFonts w:hint="eastAsia" w:ascii="宋体" w:hAnsi="宋体" w:eastAsia="宋体" w:cs="宋体"/>
                <w:sz w:val="15"/>
                <w:szCs w:val="15"/>
              </w:rPr>
              <w:t>现金流量表项目</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Style w:val="7"/>
                <w:rFonts w:hint="eastAsia" w:ascii="宋体" w:hAnsi="宋体" w:eastAsia="宋体" w:cs="宋体"/>
                <w:sz w:val="15"/>
                <w:szCs w:val="15"/>
              </w:rPr>
              <w:t>2024年1-3月发生额</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Style w:val="7"/>
                <w:rFonts w:hint="eastAsia" w:ascii="宋体" w:hAnsi="宋体" w:eastAsia="宋体" w:cs="宋体"/>
                <w:sz w:val="15"/>
                <w:szCs w:val="15"/>
              </w:rPr>
              <w:t>2023年1-3月发生额</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Style w:val="7"/>
                <w:rFonts w:hint="eastAsia" w:ascii="宋体" w:hAnsi="宋体" w:eastAsia="宋体" w:cs="宋体"/>
                <w:sz w:val="15"/>
                <w:szCs w:val="15"/>
              </w:rPr>
              <w:t>变动比例</w:t>
            </w:r>
          </w:p>
        </w:tc>
        <w:tc>
          <w:tcPr>
            <w:tcW w:w="336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Style w:val="7"/>
                <w:rFonts w:hint="eastAsia" w:ascii="宋体" w:hAnsi="宋体" w:eastAsia="宋体" w:cs="宋体"/>
                <w:sz w:val="15"/>
                <w:szCs w:val="15"/>
              </w:rPr>
              <w:t>变动原因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sz w:val="15"/>
                <w:szCs w:val="15"/>
              </w:rPr>
              <w:t>投资活动产生的现金流量净额</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-1,150,569,591.63</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-740,844,846.15</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55.31%</w:t>
            </w:r>
          </w:p>
        </w:tc>
        <w:tc>
          <w:tcPr>
            <w:tcW w:w="3361" w:type="dxa"/>
            <w:tcBorders>
              <w:top w:val="nil"/>
              <w:left w:val="nil"/>
              <w:bottom w:val="single" w:color="auto" w:sz="8" w:space="0"/>
              <w:right w:val="single" w:color="auto" w:sz="8" w:space="0"/>
            </w:tcBorders>
            <w:shd w:val="clear" w:color="auto" w:fill="auto"/>
            <w:noWrap/>
            <w:tcMar>
              <w:top w:w="12" w:type="dxa"/>
              <w:left w:w="0" w:type="dxa"/>
              <w:bottom w:w="0" w:type="dxa"/>
              <w:right w:w="12"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主要原因系现金投资的固定资产投资增加影响。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13"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sz w:val="15"/>
                <w:szCs w:val="15"/>
              </w:rPr>
              <w:t>筹资活动产生的现金流量净额</w:t>
            </w:r>
          </w:p>
        </w:tc>
        <w:tc>
          <w:tcPr>
            <w:tcW w:w="1563"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279,163,557.01</w:t>
            </w:r>
          </w:p>
        </w:tc>
        <w:tc>
          <w:tcPr>
            <w:tcW w:w="166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-79,672,752.75</w:t>
            </w:r>
          </w:p>
        </w:tc>
        <w:tc>
          <w:tcPr>
            <w:tcW w:w="664"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sz w:val="15"/>
                <w:szCs w:val="15"/>
              </w:rPr>
              <w:t>450.39%</w:t>
            </w:r>
          </w:p>
        </w:tc>
        <w:tc>
          <w:tcPr>
            <w:tcW w:w="336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rPr>
            </w:pPr>
            <w:r>
              <w:rPr>
                <w:rFonts w:hint="eastAsia" w:ascii="宋体" w:hAnsi="宋体" w:eastAsia="宋体" w:cs="宋体"/>
                <w:sz w:val="15"/>
                <w:szCs w:val="15"/>
              </w:rPr>
              <w:t>主要原因系取得借款增加影响。</w:t>
            </w:r>
          </w:p>
        </w:tc>
      </w:tr>
    </w:tbl>
    <w:p>
      <w:pPr>
        <w:pStyle w:val="4"/>
        <w:keepNext w:val="0"/>
        <w:keepLines w:val="0"/>
        <w:widowControl/>
        <w:suppressLineNumbers w:val="0"/>
      </w:pPr>
      <w:r>
        <w:rPr>
          <w:rFonts w:hint="eastAsia" w:ascii="宋体" w:hAnsi="宋体" w:eastAsia="宋体" w:cs="宋体"/>
          <w:sz w:val="18"/>
          <w:szCs w:val="18"/>
        </w:rPr>
        <w:t> </w:t>
      </w:r>
    </w:p>
    <w:p>
      <w:pPr>
        <w:keepNext/>
        <w:keepLines/>
        <w:spacing w:before="300" w:after="300" w:line="320" w:lineRule="exact"/>
        <w:jc w:val="left"/>
        <w:outlineLvl w:val="0"/>
        <w:rPr>
          <w:rFonts w:hint="eastAsia" w:ascii="仿宋" w:hAnsi="仿宋" w:eastAsia="仿宋" w:cs="仿宋"/>
          <w:b/>
          <w:bCs/>
          <w:sz w:val="28"/>
          <w:szCs w:val="28"/>
          <w:lang w:val="en-US" w:eastAsia="zh-CN" w:bidi="ar-SA"/>
        </w:rPr>
      </w:pPr>
      <w:bookmarkStart w:id="4" w:name="_Toc988893"/>
      <w:r>
        <w:rPr>
          <w:rFonts w:hint="eastAsia" w:ascii="仿宋" w:hAnsi="仿宋" w:eastAsia="仿宋" w:cs="仿宋"/>
          <w:b/>
          <w:bCs/>
          <w:sz w:val="28"/>
          <w:szCs w:val="28"/>
          <w:lang w:val="en-US" w:eastAsia="zh-CN" w:bidi="ar-SA"/>
        </w:rPr>
        <w:t xml:space="preserve">二、股东信息 </w:t>
      </w:r>
      <w:bookmarkEnd w:id="4"/>
    </w:p>
    <w:p>
      <w:pPr>
        <w:keepNext/>
        <w:keepLines/>
        <w:spacing w:before="300" w:after="300" w:line="320" w:lineRule="exact"/>
        <w:jc w:val="left"/>
        <w:outlineLvl w:val="0"/>
        <w:rPr>
          <w:rFonts w:hint="eastAsia" w:ascii="仿宋" w:hAnsi="仿宋" w:eastAsia="仿宋" w:cs="仿宋"/>
          <w:b/>
          <w:bCs/>
          <w:sz w:val="28"/>
          <w:szCs w:val="28"/>
          <w:lang w:val="en-US" w:eastAsia="zh-CN" w:bidi="ar-SA"/>
        </w:rPr>
      </w:pPr>
      <w:bookmarkStart w:id="5" w:name="_Toc988894"/>
      <w:r>
        <w:rPr>
          <w:rFonts w:hint="eastAsia" w:ascii="仿宋" w:hAnsi="仿宋" w:eastAsia="仿宋" w:cs="仿宋"/>
          <w:b/>
          <w:bCs/>
          <w:sz w:val="28"/>
          <w:szCs w:val="28"/>
          <w:lang w:val="en-US" w:eastAsia="zh-CN" w:bidi="ar-SA"/>
        </w:rPr>
        <w:t>（一） 普通股股东总数和表决权恢复的优先股股东数量及前十名股东持股情况表</w:t>
      </w:r>
      <w:bookmarkEnd w:id="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119"/>
        <w:gridCol w:w="1500"/>
        <w:gridCol w:w="1710"/>
        <w:gridCol w:w="1343"/>
        <w:gridCol w:w="1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报告期末普通股股东总数</w:t>
            </w:r>
          </w:p>
        </w:tc>
        <w:tc>
          <w:tcPr>
            <w:tcW w:w="111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166,912</w:t>
            </w:r>
          </w:p>
        </w:tc>
        <w:tc>
          <w:tcPr>
            <w:tcW w:w="455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报告期末表决权恢复的优先股股东总数（如有）</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前10名股东持股情况（不含通过转融通出借股份）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股东性质</w:t>
            </w:r>
          </w:p>
        </w:tc>
        <w:tc>
          <w:tcPr>
            <w:tcW w:w="1119"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5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持股数量</w:t>
            </w:r>
          </w:p>
        </w:tc>
        <w:tc>
          <w:tcPr>
            <w:tcW w:w="17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持有有限售条件的股份数量</w:t>
            </w:r>
          </w:p>
        </w:tc>
        <w:tc>
          <w:tcPr>
            <w:tcW w:w="25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质押、标记或冻结情况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119"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5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股份状态</w:t>
            </w:r>
          </w:p>
        </w:tc>
        <w:tc>
          <w:tcPr>
            <w:tcW w:w="1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11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26.19%</w:t>
            </w:r>
          </w:p>
        </w:tc>
        <w:tc>
          <w:tcPr>
            <w:tcW w:w="15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730,872,327.00</w:t>
            </w:r>
          </w:p>
        </w:tc>
        <w:tc>
          <w:tcPr>
            <w:tcW w:w="17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309,877,699.00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11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5.69%</w:t>
            </w:r>
          </w:p>
        </w:tc>
        <w:tc>
          <w:tcPr>
            <w:tcW w:w="15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158,884,995.00</w:t>
            </w:r>
          </w:p>
        </w:tc>
        <w:tc>
          <w:tcPr>
            <w:tcW w:w="17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111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w:t>
            </w:r>
          </w:p>
        </w:tc>
        <w:tc>
          <w:tcPr>
            <w:tcW w:w="15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34,482,758.00</w:t>
            </w:r>
          </w:p>
        </w:tc>
        <w:tc>
          <w:tcPr>
            <w:tcW w:w="17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吉林省投资集团有限公司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11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w:t>
            </w:r>
          </w:p>
        </w:tc>
        <w:tc>
          <w:tcPr>
            <w:tcW w:w="15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29,700,000.00</w:t>
            </w:r>
          </w:p>
        </w:tc>
        <w:tc>
          <w:tcPr>
            <w:tcW w:w="17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11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0.88%</w:t>
            </w:r>
          </w:p>
        </w:tc>
        <w:tc>
          <w:tcPr>
            <w:tcW w:w="15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24,430,700.00</w:t>
            </w:r>
          </w:p>
        </w:tc>
        <w:tc>
          <w:tcPr>
            <w:tcW w:w="17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11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0.67%</w:t>
            </w:r>
          </w:p>
        </w:tc>
        <w:tc>
          <w:tcPr>
            <w:tcW w:w="15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18,804,554.00</w:t>
            </w:r>
          </w:p>
        </w:tc>
        <w:tc>
          <w:tcPr>
            <w:tcW w:w="17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香港中央结算有限公司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境外法人</w:t>
            </w:r>
          </w:p>
        </w:tc>
        <w:tc>
          <w:tcPr>
            <w:tcW w:w="111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0.61%</w:t>
            </w:r>
          </w:p>
        </w:tc>
        <w:tc>
          <w:tcPr>
            <w:tcW w:w="15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17,089,490.00</w:t>
            </w:r>
          </w:p>
        </w:tc>
        <w:tc>
          <w:tcPr>
            <w:tcW w:w="17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11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0.60%</w:t>
            </w:r>
          </w:p>
        </w:tc>
        <w:tc>
          <w:tcPr>
            <w:tcW w:w="15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16,709,051.00</w:t>
            </w:r>
          </w:p>
        </w:tc>
        <w:tc>
          <w:tcPr>
            <w:tcW w:w="17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郑捷文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11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0.39%</w:t>
            </w:r>
          </w:p>
        </w:tc>
        <w:tc>
          <w:tcPr>
            <w:tcW w:w="15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10,952,100.00</w:t>
            </w:r>
          </w:p>
        </w:tc>
        <w:tc>
          <w:tcPr>
            <w:tcW w:w="17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林文新</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11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0.38%</w:t>
            </w:r>
          </w:p>
        </w:tc>
        <w:tc>
          <w:tcPr>
            <w:tcW w:w="15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10,471,475.00</w:t>
            </w:r>
          </w:p>
        </w:tc>
        <w:tc>
          <w:tcPr>
            <w:tcW w:w="17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前10名无限售条件股东持股情况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4329" w:type="dxa"/>
            <w:gridSpan w:val="3"/>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持有无限售条件股份数量</w:t>
            </w:r>
          </w:p>
        </w:tc>
        <w:tc>
          <w:tcPr>
            <w:tcW w:w="25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股份种类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vMerge w:val="continue"/>
            <w:tcBorders>
              <w:top w:val="single" w:color="auto" w:sz="2" w:space="0"/>
              <w:left w:val="single" w:color="auto" w:sz="2" w:space="0"/>
              <w:bottom w:val="single" w:color="auto" w:sz="2" w:space="0"/>
              <w:right w:val="single" w:color="auto" w:sz="2" w:space="0"/>
            </w:tcBorders>
            <w:vAlign w:val="center"/>
          </w:tcPr>
          <w:p/>
        </w:tc>
        <w:tc>
          <w:tcPr>
            <w:tcW w:w="4329" w:type="dxa"/>
            <w:gridSpan w:val="3"/>
            <w:vMerge w:val="continue"/>
            <w:tcBorders>
              <w:top w:val="single" w:color="auto" w:sz="2" w:space="0"/>
              <w:left w:val="single" w:color="auto" w:sz="2" w:space="0"/>
              <w:bottom w:val="single" w:color="auto" w:sz="2" w:space="0"/>
              <w:right w:val="single" w:color="auto" w:sz="2" w:space="0"/>
            </w:tcBorders>
            <w:vAlign w:val="center"/>
          </w:tcPr>
          <w:p/>
        </w:tc>
        <w:tc>
          <w:tcPr>
            <w:tcW w:w="13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股份种类</w:t>
            </w:r>
          </w:p>
        </w:tc>
        <w:tc>
          <w:tcPr>
            <w:tcW w:w="1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43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420,994,628.00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420,994,628.00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43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吉林省投资集团有限公司</w:t>
            </w:r>
          </w:p>
        </w:tc>
        <w:tc>
          <w:tcPr>
            <w:tcW w:w="43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43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43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18,804,554.00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18,804,554.00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香港中央结算有限公司</w:t>
            </w:r>
          </w:p>
        </w:tc>
        <w:tc>
          <w:tcPr>
            <w:tcW w:w="43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17,089,490.00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17,089,490.00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43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16,709,051.00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16,709,051.00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林文新</w:t>
            </w:r>
          </w:p>
        </w:tc>
        <w:tc>
          <w:tcPr>
            <w:tcW w:w="43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10,952,100.00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10,952,100.00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郑捷文</w:t>
            </w:r>
          </w:p>
        </w:tc>
        <w:tc>
          <w:tcPr>
            <w:tcW w:w="43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10,471,475.00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10,471,475.00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招商银行股份有限公司-南方中证1000交易型开放式指数证券投资基金</w:t>
            </w:r>
          </w:p>
        </w:tc>
        <w:tc>
          <w:tcPr>
            <w:tcW w:w="43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8,516,500.00</w:t>
            </w:r>
          </w:p>
        </w:tc>
        <w:tc>
          <w:tcPr>
            <w:tcW w:w="13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8,516,500.00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7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上述股东关联关系或一致行动的说明</w:t>
            </w:r>
          </w:p>
        </w:tc>
        <w:tc>
          <w:tcPr>
            <w:tcW w:w="5766" w:type="dxa"/>
            <w:gridSpan w:val="4"/>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hint="eastAsia" w:ascii="宋体" w:hAnsi="宋体" w:eastAsia="宋体" w:cs="宋体"/>
                <w:sz w:val="18"/>
                <w:szCs w:val="18"/>
                <w:lang w:val="en-US" w:eastAsia="zh-CN"/>
              </w:rPr>
              <w:t>1.</w:t>
            </w:r>
            <w:r>
              <w:rPr>
                <w:rFonts w:ascii="宋体" w:hAnsi="宋体" w:eastAsia="宋体" w:cs="宋体"/>
                <w:sz w:val="18"/>
                <w:szCs w:val="18"/>
              </w:rPr>
              <w:t>国家电投、吉林能投、财务公司、成套公司之间存在关联关系，属于《上市公司收购管理办法》规定的一致行动人</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w:t>
            </w:r>
            <w:r>
              <w:rPr>
                <w:rFonts w:hint="eastAsia" w:ascii="宋体" w:hAnsi="宋体" w:eastAsia="宋体" w:cs="宋体"/>
                <w:sz w:val="18"/>
                <w:szCs w:val="18"/>
              </w:rPr>
              <w:t>.除此之外，未知其他股东之间是否存在关联关系，也未知是否属于《上市公司收购管理办法》规定的一致行动人。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7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前10名股东参与融资融券业务情况说明（如有）</w:t>
            </w:r>
          </w:p>
        </w:tc>
        <w:tc>
          <w:tcPr>
            <w:tcW w:w="5766" w:type="dxa"/>
            <w:gridSpan w:val="4"/>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前10名无限售流通股东林文新通过信用帐户持有本公司股份2,477,900股,通过普通证券帐户持有公司股份8,474,200股，合计持有本公司股份10,952,100股;2.前10名无限售流通股东郑捷文通过信用帐户持有本公司股份10,471,475股。</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持股5%以上股东、前10名股东及前10名无限售流通股股东参与转融通业务出借股份情况</w:t>
      </w:r>
    </w:p>
    <w:p>
      <w:pPr>
        <w:spacing w:before="0" w:after="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167"/>
        <w:gridCol w:w="975"/>
        <w:gridCol w:w="1071"/>
        <w:gridCol w:w="1071"/>
        <w:gridCol w:w="1143"/>
        <w:gridCol w:w="999"/>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持股5%以上股东、前10名股东及前10名无限售流通股股东参与转融通业务出借股份情况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股东名称（全称）</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期初普通账户、信用账户持股</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期初转融通出借股份且尚未归还</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期末普通账户、信用账户持股</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期末转融通出借股份且尚未归还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16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97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c>
          <w:tcPr>
            <w:tcW w:w="11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99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116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18,190,354</w:t>
            </w:r>
          </w:p>
        </w:tc>
        <w:tc>
          <w:tcPr>
            <w:tcW w:w="9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3,366,900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0.12%</w:t>
            </w:r>
          </w:p>
        </w:tc>
        <w:tc>
          <w:tcPr>
            <w:tcW w:w="11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18,804,554</w:t>
            </w:r>
          </w:p>
        </w:tc>
        <w:tc>
          <w:tcPr>
            <w:tcW w:w="99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1,248,500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w:t>
            </w:r>
            <w:r>
              <w:rPr>
                <w:rFonts w:hint="eastAsia" w:ascii="宋体" w:hAnsi="宋体" w:cs="宋体"/>
                <w:sz w:val="18"/>
                <w:szCs w:val="18"/>
                <w:lang w:val="en-US" w:eastAsia="zh-CN"/>
              </w:rPr>
              <w:t>4</w:t>
            </w: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116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16,765,351</w:t>
            </w:r>
          </w:p>
        </w:tc>
        <w:tc>
          <w:tcPr>
            <w:tcW w:w="9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548,500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w:t>
            </w:r>
          </w:p>
        </w:tc>
        <w:tc>
          <w:tcPr>
            <w:tcW w:w="11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16,709,051</w:t>
            </w:r>
          </w:p>
        </w:tc>
        <w:tc>
          <w:tcPr>
            <w:tcW w:w="99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973,200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both"/>
              <w:rPr>
                <w:rFonts w:ascii="宋体" w:hAnsi="宋体" w:eastAsia="宋体" w:cs="宋体"/>
                <w:sz w:val="18"/>
                <w:szCs w:val="18"/>
              </w:rPr>
            </w:pPr>
            <w:r>
              <w:rPr>
                <w:rFonts w:hint="eastAsia" w:ascii="宋体" w:hAnsi="宋体" w:eastAsia="宋体" w:cs="宋体"/>
                <w:sz w:val="18"/>
                <w:szCs w:val="18"/>
              </w:rPr>
              <w:t>招商银行股份有限公司-南方中证1000交易型开放式指数证券投资基金</w:t>
            </w:r>
          </w:p>
        </w:tc>
        <w:tc>
          <w:tcPr>
            <w:tcW w:w="116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sz w:val="18"/>
                <w:szCs w:val="18"/>
              </w:rPr>
              <w:t>2,409,300</w:t>
            </w:r>
          </w:p>
        </w:tc>
        <w:tc>
          <w:tcPr>
            <w:tcW w:w="9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sz w:val="18"/>
                <w:szCs w:val="18"/>
              </w:rPr>
              <w:t>0.09%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sz w:val="18"/>
                <w:szCs w:val="18"/>
              </w:rPr>
              <w:t>490,500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sz w:val="18"/>
                <w:szCs w:val="18"/>
              </w:rPr>
              <w:t>0.02%</w:t>
            </w:r>
          </w:p>
        </w:tc>
        <w:tc>
          <w:tcPr>
            <w:tcW w:w="11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sz w:val="18"/>
                <w:szCs w:val="18"/>
              </w:rPr>
              <w:t>8,516,500</w:t>
            </w:r>
          </w:p>
        </w:tc>
        <w:tc>
          <w:tcPr>
            <w:tcW w:w="99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sz w:val="18"/>
                <w:szCs w:val="18"/>
              </w:rPr>
              <w:t>0.31%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sz w:val="18"/>
                <w:szCs w:val="18"/>
              </w:rPr>
              <w:t>245,300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hint="eastAsia" w:ascii="宋体" w:hAnsi="宋体" w:eastAsia="宋体" w:cs="宋体"/>
                <w:sz w:val="18"/>
                <w:szCs w:val="18"/>
              </w:rPr>
              <w:t>0.01%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前10名股东及前10名无限售流通股股东因转融通出借/归还原因导致较上期发生变化</w:t>
      </w:r>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1"/>
        <w:rPr>
          <w:rFonts w:hint="eastAsia" w:ascii="仿宋" w:hAnsi="仿宋" w:eastAsia="仿宋" w:cs="仿宋"/>
          <w:b/>
          <w:bCs/>
          <w:sz w:val="28"/>
          <w:szCs w:val="28"/>
        </w:rPr>
      </w:pPr>
      <w:bookmarkStart w:id="6" w:name="_Toc988895"/>
      <w:r>
        <w:rPr>
          <w:rFonts w:hint="eastAsia" w:ascii="仿宋" w:hAnsi="仿宋" w:eastAsia="仿宋" w:cs="仿宋"/>
          <w:b/>
          <w:bCs/>
          <w:sz w:val="28"/>
          <w:szCs w:val="28"/>
        </w:rPr>
        <w:t>（二） 公司优先股股东总数及前10名优先股股东持股情况表</w:t>
      </w:r>
      <w:bookmarkEnd w:id="6"/>
    </w:p>
    <w:p>
      <w:pPr>
        <w:keepNext/>
        <w:keepLines/>
        <w:spacing w:before="300" w:after="300" w:line="280" w:lineRule="exact"/>
        <w:jc w:val="left"/>
        <w:outlineLvl w:val="1"/>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□适用 </w:t>
      </w:r>
      <w:r>
        <w:rPr>
          <w:rFonts w:hint="eastAsia" w:ascii="仿宋" w:hAnsi="仿宋" w:eastAsia="仿宋" w:cs="仿宋"/>
          <w:b w:val="0"/>
          <w:bCs w:val="0"/>
          <w:sz w:val="28"/>
          <w:szCs w:val="28"/>
        </w:rPr>
        <w:sym w:font="Wingdings 2" w:char="F052"/>
      </w:r>
      <w:r>
        <w:rPr>
          <w:rFonts w:hint="eastAsia" w:ascii="仿宋" w:hAnsi="仿宋" w:eastAsia="仿宋" w:cs="仿宋"/>
          <w:b w:val="0"/>
          <w:bCs w:val="0"/>
          <w:sz w:val="28"/>
          <w:szCs w:val="28"/>
        </w:rPr>
        <w:t>不适用</w:t>
      </w:r>
    </w:p>
    <w:p>
      <w:pPr>
        <w:keepNext/>
        <w:keepLines/>
        <w:spacing w:before="300" w:after="300" w:line="320" w:lineRule="exact"/>
        <w:jc w:val="left"/>
        <w:outlineLvl w:val="0"/>
        <w:rPr>
          <w:rFonts w:hint="eastAsia" w:ascii="仿宋" w:hAnsi="仿宋" w:eastAsia="仿宋" w:cs="仿宋"/>
          <w:b/>
          <w:bCs/>
          <w:sz w:val="28"/>
          <w:szCs w:val="28"/>
        </w:rPr>
      </w:pPr>
      <w:bookmarkStart w:id="7" w:name="_Toc988896"/>
      <w:r>
        <w:rPr>
          <w:rFonts w:hint="eastAsia" w:ascii="仿宋" w:hAnsi="仿宋" w:eastAsia="仿宋" w:cs="仿宋"/>
          <w:b/>
          <w:bCs/>
          <w:sz w:val="28"/>
          <w:szCs w:val="28"/>
        </w:rPr>
        <w:t>三、其他重要事项</w:t>
      </w:r>
      <w:bookmarkEnd w:id="7"/>
    </w:p>
    <w:p>
      <w:pPr>
        <w:keepNext/>
        <w:keepLines/>
        <w:spacing w:before="300" w:after="300" w:line="280" w:lineRule="exact"/>
        <w:jc w:val="left"/>
        <w:outlineLvl w:val="1"/>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□适用 </w:t>
      </w:r>
      <w:r>
        <w:rPr>
          <w:rFonts w:hint="eastAsia" w:ascii="仿宋" w:hAnsi="仿宋" w:eastAsia="仿宋" w:cs="仿宋"/>
          <w:b w:val="0"/>
          <w:bCs w:val="0"/>
          <w:sz w:val="28"/>
          <w:szCs w:val="28"/>
        </w:rPr>
        <w:sym w:font="Wingdings 2" w:char="F052"/>
      </w:r>
      <w:r>
        <w:rPr>
          <w:rFonts w:hint="eastAsia" w:ascii="仿宋" w:hAnsi="仿宋" w:eastAsia="仿宋" w:cs="仿宋"/>
          <w:b w:val="0"/>
          <w:bCs w:val="0"/>
          <w:sz w:val="28"/>
          <w:szCs w:val="28"/>
        </w:rPr>
        <w:t>不适用</w:t>
      </w:r>
    </w:p>
    <w:p>
      <w:pPr>
        <w:keepNext/>
        <w:keepLines/>
        <w:spacing w:before="300" w:after="300" w:line="320" w:lineRule="exact"/>
        <w:jc w:val="left"/>
        <w:outlineLvl w:val="0"/>
        <w:rPr>
          <w:rFonts w:hint="eastAsia" w:ascii="仿宋" w:hAnsi="仿宋" w:eastAsia="仿宋" w:cs="仿宋"/>
          <w:b/>
          <w:bCs/>
          <w:sz w:val="28"/>
          <w:szCs w:val="28"/>
        </w:rPr>
      </w:pPr>
      <w:bookmarkStart w:id="8" w:name="_Toc988897"/>
      <w:r>
        <w:rPr>
          <w:rFonts w:hint="eastAsia" w:ascii="仿宋" w:hAnsi="仿宋" w:eastAsia="仿宋" w:cs="仿宋"/>
          <w:b/>
          <w:bCs/>
          <w:sz w:val="28"/>
          <w:szCs w:val="28"/>
        </w:rPr>
        <w:t>四、季度财务报表</w:t>
      </w:r>
      <w:bookmarkEnd w:id="8"/>
    </w:p>
    <w:p>
      <w:pPr>
        <w:keepNext/>
        <w:keepLines/>
        <w:spacing w:before="300" w:after="300" w:line="280" w:lineRule="exact"/>
        <w:jc w:val="left"/>
        <w:outlineLvl w:val="1"/>
        <w:rPr>
          <w:rFonts w:hint="eastAsia" w:ascii="仿宋" w:hAnsi="仿宋" w:eastAsia="仿宋" w:cs="仿宋"/>
          <w:b/>
          <w:bCs/>
          <w:sz w:val="28"/>
          <w:szCs w:val="28"/>
        </w:rPr>
      </w:pPr>
      <w:bookmarkStart w:id="9" w:name="_Toc988898"/>
      <w:r>
        <w:rPr>
          <w:rFonts w:hint="eastAsia" w:ascii="仿宋" w:hAnsi="仿宋" w:eastAsia="仿宋" w:cs="仿宋"/>
          <w:b/>
          <w:bCs/>
          <w:sz w:val="28"/>
          <w:szCs w:val="28"/>
        </w:rPr>
        <w:t>（一） 财务报表</w:t>
      </w:r>
      <w:bookmarkEnd w:id="9"/>
    </w:p>
    <w:p>
      <w:pPr>
        <w:keepNext/>
        <w:keepLines/>
        <w:spacing w:before="300" w:after="300" w:line="280" w:lineRule="exact"/>
        <w:jc w:val="left"/>
        <w:outlineLvl w:val="2"/>
        <w:rPr>
          <w:rFonts w:hint="eastAsia" w:ascii="仿宋" w:hAnsi="仿宋" w:eastAsia="仿宋" w:cs="仿宋"/>
          <w:b/>
          <w:bCs/>
          <w:sz w:val="28"/>
          <w:szCs w:val="28"/>
        </w:rPr>
      </w:pPr>
      <w:bookmarkStart w:id="10" w:name="_Toc988899"/>
      <w:r>
        <w:rPr>
          <w:rFonts w:hint="eastAsia" w:ascii="仿宋" w:hAnsi="仿宋" w:eastAsia="仿宋" w:cs="仿宋"/>
          <w:b/>
          <w:bCs/>
          <w:sz w:val="28"/>
          <w:szCs w:val="28"/>
        </w:rPr>
        <w:t>1、合并资产负债表</w:t>
      </w:r>
      <w:bookmarkEnd w:id="10"/>
    </w:p>
    <w:p>
      <w:pPr>
        <w:spacing w:before="0" w:after="0" w:line="240" w:lineRule="exact"/>
        <w:jc w:val="left"/>
        <w:rPr>
          <w:rFonts w:ascii="宋体" w:hAnsi="宋体" w:eastAsia="宋体" w:cs="宋体"/>
          <w:sz w:val="18"/>
          <w:szCs w:val="18"/>
        </w:rPr>
      </w:pPr>
      <w:r>
        <w:rPr>
          <w:rFonts w:ascii="宋体" w:hAnsi="宋体" w:eastAsia="宋体" w:cs="宋体"/>
          <w:sz w:val="18"/>
          <w:szCs w:val="18"/>
        </w:rPr>
        <w:t>编制单位：吉林电力股份有限公司</w:t>
      </w:r>
    </w:p>
    <w:p>
      <w:pPr>
        <w:spacing w:before="0" w:after="0" w:line="240" w:lineRule="exact"/>
        <w:jc w:val="center"/>
        <w:rPr>
          <w:rFonts w:ascii="宋体" w:hAnsi="宋体" w:eastAsia="宋体" w:cs="宋体"/>
          <w:sz w:val="18"/>
          <w:szCs w:val="18"/>
        </w:rPr>
      </w:pPr>
      <w:r>
        <w:rPr>
          <w:rFonts w:ascii="宋体" w:hAnsi="宋体" w:eastAsia="宋体" w:cs="宋体"/>
          <w:sz w:val="18"/>
          <w:szCs w:val="18"/>
        </w:rPr>
        <w:t>2024年03月31日</w:t>
      </w:r>
    </w:p>
    <w:p>
      <w:pPr>
        <w:spacing w:before="0" w:after="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853,077,603.66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1,099,505,306.89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结算备付金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拆出资金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44,486,173.94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9,506,446,614.34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8,410,067,658.38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300,735,071.11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255,951,809.87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应收分保合同准备金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169,752,589.05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151,110,003.33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买入返售金融资产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143,294,216.30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141,150,921.85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865,528,234.23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895,043,977.43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11,884,320,502.63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11,028,163,713.38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发放贷款和垫款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127,805,090.00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129,855,090.00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1,206,149,128.86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1,185,083,287.35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52,289,679,230.42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51,760,401,506.12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5,420,499,737.90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5,992,940,288.83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1,471,402,647.79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1,458,156,827.63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1,733,578,720.24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1,720,598,199.12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20,950,276.21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21,765,033.06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4,621,652.28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4,621,652.28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295,161,557.14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303,106,168.93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90,780,138.76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90,245,147.85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2,963,534,759.33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2,721,912,885.24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65,958,698,722.42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65,723,221,869.90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77,843,019,225.05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76,751,385,583.28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6,602,618,069.61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6,373,744,656.75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向中央银行借款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拆入资金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7,837,000.00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3,153,772,958.45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3,275,449,369.21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60,166,316.58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390,395,891.87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卖出回购金融资产款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吸收存款及同业存放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代理买卖证券款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代理承销证券款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107,925,608.45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68,958,525.53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240,808,255.30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182,152,512.20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976,037,253.57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1,024,336,440.29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36,129,493.10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36,129,493.10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应付手续费及佣金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5,268,344,479.14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5,396,098,943.90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16,744,295.62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731,892,728.37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16,434,254,236.72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17,453,029,068.12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保险合同准备金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34,627,549,781.50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32,966,891,576.41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3,483,857,343.96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3,492,884,947.57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972,792,907.77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969,372,890.45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1,644,830,655.29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1,932,670,940.63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1,795,648.85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1,795,648.85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63,740,446.84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58,324,199.38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137,446,679.56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140,621,401.07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40,932,013,463.77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39,562,561,604.36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57,366,267,700.49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57,015,590,672.48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52,609,915.43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23,095,372.82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一般风险准备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2,454,714,301.48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1,836,141,587.57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归属于母公司所有者权益合计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12,446,591,883.52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11,798,504,627.00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8,030,159,641.04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7,937,290,283.80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20,476,751,524.56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19,735,794,910.80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77,843,019,225.05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76,751,385,583.28</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法定代表人：牛国君    主管会计工作负责人：谢晶      会计机构负责人：于杭</w:t>
      </w:r>
    </w:p>
    <w:p>
      <w:pPr>
        <w:keepNext/>
        <w:keepLines/>
        <w:spacing w:before="300" w:after="300" w:line="280" w:lineRule="exact"/>
        <w:jc w:val="left"/>
        <w:outlineLvl w:val="2"/>
        <w:rPr>
          <w:rFonts w:hint="eastAsia" w:ascii="仿宋" w:hAnsi="仿宋" w:eastAsia="仿宋" w:cs="仿宋"/>
          <w:b/>
          <w:bCs/>
          <w:sz w:val="28"/>
          <w:szCs w:val="28"/>
        </w:rPr>
      </w:pPr>
      <w:bookmarkStart w:id="11" w:name="_Toc988900"/>
      <w:r>
        <w:rPr>
          <w:rFonts w:hint="eastAsia" w:ascii="仿宋" w:hAnsi="仿宋" w:eastAsia="仿宋" w:cs="仿宋"/>
          <w:b/>
          <w:bCs/>
          <w:sz w:val="28"/>
          <w:szCs w:val="28"/>
        </w:rPr>
        <w:t>2、合并利润表</w:t>
      </w:r>
      <w:bookmarkEnd w:id="1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一、营业总收入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3,814,604,503.96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4,024,463,565.67</w:t>
            </w:r>
          </w:p>
        </w:tc>
      </w:tr>
      <w:tr>
        <w:tblPrEx>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3,814,604,503.96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4,024,463,565.67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720" w:firstLineChars="4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720" w:firstLineChars="400"/>
              <w:jc w:val="left"/>
              <w:rPr>
                <w:rFonts w:ascii="宋体" w:hAnsi="宋体" w:eastAsia="宋体" w:cs="宋体"/>
                <w:sz w:val="18"/>
                <w:szCs w:val="18"/>
              </w:rPr>
            </w:pPr>
            <w:r>
              <w:rPr>
                <w:rFonts w:ascii="宋体" w:hAnsi="宋体" w:eastAsia="宋体" w:cs="宋体"/>
                <w:sz w:val="18"/>
                <w:szCs w:val="18"/>
              </w:rPr>
              <w:t>已赚保费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720" w:firstLineChars="400"/>
              <w:jc w:val="left"/>
              <w:rPr>
                <w:rFonts w:ascii="宋体" w:hAnsi="宋体" w:eastAsia="宋体" w:cs="宋体"/>
                <w:sz w:val="18"/>
                <w:szCs w:val="18"/>
              </w:rPr>
            </w:pPr>
            <w:r>
              <w:rPr>
                <w:rFonts w:ascii="宋体" w:hAnsi="宋体" w:eastAsia="宋体" w:cs="宋体"/>
                <w:sz w:val="18"/>
                <w:szCs w:val="18"/>
              </w:rPr>
              <w:t>手续费及佣金收入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二、营业总成本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3,024,249,352.26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3,324,460,813.13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其中：营业成本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2,596,422,031.52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2,865,152,512.78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利息支出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手续费及佣金支出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退保金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赔付支出净额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提取保险责任准备金净额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保单红利支出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分保费用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720" w:firstLineChars="400"/>
              <w:jc w:val="left"/>
              <w:rPr>
                <w:rFonts w:ascii="宋体" w:hAnsi="宋体" w:eastAsia="宋体" w:cs="宋体"/>
                <w:sz w:val="18"/>
                <w:szCs w:val="18"/>
              </w:rPr>
            </w:pPr>
            <w:r>
              <w:rPr>
                <w:rFonts w:ascii="宋体" w:hAnsi="宋体" w:eastAsia="宋体" w:cs="宋体"/>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27,619,900.96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31,175,634.74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32,377,733.45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34,803,717.04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4,364,199.94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2,634,414.94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363,465,486.39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390,694,533.63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365,566,669.67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392,506,215.91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2,472,924.30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3,032,210.89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11,633,463.43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17,066,549.87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21,065,841.51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-1,496,226.59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21,065,841.51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-2,615,199.34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jc w:val="left"/>
              <w:rPr>
                <w:rFonts w:ascii="宋体" w:hAnsi="宋体" w:eastAsia="宋体" w:cs="宋体"/>
                <w:sz w:val="18"/>
                <w:szCs w:val="18"/>
              </w:rPr>
            </w:pPr>
            <w:r>
              <w:rPr>
                <w:rFonts w:ascii="宋体" w:hAnsi="宋体" w:eastAsia="宋体" w:cs="宋体"/>
                <w:sz w:val="18"/>
                <w:szCs w:val="18"/>
              </w:rPr>
              <w:t>以摊余成本计量的金融资产终止确认收益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汇兑收益（损失以“-”号填列）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1,004,064.24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555,461.47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57,985.95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331,196.30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824,116,506.83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716,459,733.59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54,599,708.00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23,697,337.46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907.60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1,363,992.30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878,715,307.23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738,793,078.75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89,980,159.14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72,278,878.99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788,735,148.09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666,514,199.76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（一）按经营持续性分类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1.持续经营净利润（净亏损以“－”号填列）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788,735,148.09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666,514,199.76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2.终止经营净利润（净亏损以“－”号填列）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（二）按所有权归属分类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1.归属于母公司所有者的净利润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618,572,713.91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503,150,056.85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2.少数股东损益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170,162,434.18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163,364,142.91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归属母公司所有者的其他综合收益的税后净额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归属于少数股东的其他综合收益的税后净额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七、综合收益总额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788,735,148.09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670,774,684.46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归属于母公司所有者的综合收益总额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618,572,713.91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507,410,541.55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归属于少数股东的综合收益总额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170,162,434.18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163,364,142.91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八、每股收益：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0.18</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本期发生同一控制下企业合并的，被合并方在合并前实现的净利润为：元，上期被合并方实现的净利润为：元。</w:t>
      </w:r>
    </w:p>
    <w:p>
      <w:pPr>
        <w:spacing w:before="0" w:after="0" w:line="240" w:lineRule="exact"/>
        <w:jc w:val="left"/>
        <w:rPr>
          <w:rFonts w:ascii="宋体" w:hAnsi="宋体" w:eastAsia="宋体" w:cs="宋体"/>
          <w:sz w:val="18"/>
          <w:szCs w:val="18"/>
        </w:rPr>
      </w:pPr>
      <w:r>
        <w:rPr>
          <w:rFonts w:ascii="宋体" w:hAnsi="宋体" w:eastAsia="宋体" w:cs="宋体"/>
          <w:sz w:val="18"/>
          <w:szCs w:val="18"/>
        </w:rPr>
        <w:t>法定代表人：牛国君    主管会计工作负责人：谢晶    会计机构负责人：于杭</w:t>
      </w:r>
    </w:p>
    <w:p>
      <w:pPr>
        <w:keepNext/>
        <w:keepLines/>
        <w:spacing w:before="300" w:after="300" w:line="280" w:lineRule="exact"/>
        <w:jc w:val="left"/>
        <w:outlineLvl w:val="2"/>
        <w:rPr>
          <w:rFonts w:hint="eastAsia" w:ascii="仿宋" w:hAnsi="仿宋" w:eastAsia="仿宋" w:cs="仿宋"/>
          <w:b/>
          <w:bCs/>
          <w:sz w:val="28"/>
          <w:szCs w:val="28"/>
        </w:rPr>
      </w:pPr>
      <w:bookmarkStart w:id="12" w:name="_Toc988901"/>
      <w:r>
        <w:rPr>
          <w:rFonts w:hint="eastAsia" w:ascii="仿宋" w:hAnsi="仿宋" w:eastAsia="仿宋" w:cs="仿宋"/>
          <w:b/>
          <w:bCs/>
          <w:sz w:val="28"/>
          <w:szCs w:val="28"/>
        </w:rPr>
        <w:t>3、合并现金流量表</w:t>
      </w:r>
      <w:bookmarkEnd w:id="12"/>
    </w:p>
    <w:p>
      <w:pPr>
        <w:spacing w:before="0" w:after="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2,841,095,692.92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3,274,615,340.72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客户存款和同业存放款项净增加额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向中央银行借款净增加额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向其他金融机构拆入资金净增加额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收到原保险合同保费取得的现金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收到再保业务现金净额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保户储金及投资款净增加额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收取利息、手续费及佣金的现金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回购业务资金净增加额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代理买卖证券收到的现金净额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7,814,461.37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21,356,325.35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54,527,353.25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73,535,639.53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2,903,437,507.54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3,369,507,305.60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1,658,370,656.88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1,945,733,773.75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客户贷款及垫款净增加额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存放中央银行和同业款项净增加额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支付原保险合同赔付款项的现金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拆出资金净增加额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支付保单红利的现金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228,372,602.89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267,505,258.40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247,752,632.13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257,970,720.03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132,511,181.03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197,606,121.32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2,267,007,072.93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2,668,815,873.50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636,430,434.61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700,691,432.10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44,625.00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354,530.60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399,155.60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宋体" w:hAnsi="宋体" w:eastAsia="宋体" w:cs="宋体"/>
                <w:sz w:val="18"/>
                <w:szCs w:val="18"/>
                <w:lang w:val="en-US" w:eastAsia="zh-CN"/>
              </w:rPr>
            </w:pPr>
            <w:r>
              <w:rPr>
                <w:rFonts w:ascii="宋体" w:hAnsi="宋体" w:eastAsia="宋体" w:cs="宋体"/>
                <w:sz w:val="18"/>
                <w:szCs w:val="18"/>
              </w:rPr>
              <w:t>1,1</w:t>
            </w:r>
            <w:r>
              <w:rPr>
                <w:rFonts w:hint="eastAsia" w:ascii="宋体" w:hAnsi="宋体" w:cs="宋体"/>
                <w:sz w:val="18"/>
                <w:szCs w:val="18"/>
                <w:lang w:val="en-US" w:eastAsia="zh-CN"/>
              </w:rPr>
              <w:t>22</w:t>
            </w:r>
            <w:r>
              <w:rPr>
                <w:rFonts w:ascii="宋体" w:hAnsi="宋体" w:eastAsia="宋体" w:cs="宋体"/>
                <w:sz w:val="18"/>
                <w:szCs w:val="18"/>
              </w:rPr>
              <w:t>,</w:t>
            </w:r>
            <w:r>
              <w:rPr>
                <w:rFonts w:hint="eastAsia" w:ascii="宋体" w:hAnsi="宋体" w:cs="宋体"/>
                <w:sz w:val="18"/>
                <w:szCs w:val="18"/>
                <w:lang w:val="en-US" w:eastAsia="zh-CN"/>
              </w:rPr>
              <w:t>044</w:t>
            </w:r>
            <w:r>
              <w:rPr>
                <w:rFonts w:ascii="宋体" w:hAnsi="宋体" w:eastAsia="宋体" w:cs="宋体"/>
                <w:sz w:val="18"/>
                <w:szCs w:val="18"/>
              </w:rPr>
              <w:t>,</w:t>
            </w:r>
            <w:r>
              <w:rPr>
                <w:rFonts w:hint="eastAsia" w:ascii="宋体" w:hAnsi="宋体" w:cs="宋体"/>
                <w:sz w:val="18"/>
                <w:szCs w:val="18"/>
                <w:lang w:val="en-US" w:eastAsia="zh-CN"/>
              </w:rPr>
              <w:t>829</w:t>
            </w:r>
            <w:r>
              <w:rPr>
                <w:rFonts w:ascii="宋体" w:hAnsi="宋体" w:eastAsia="宋体" w:cs="宋体"/>
                <w:sz w:val="18"/>
                <w:szCs w:val="18"/>
              </w:rPr>
              <w:t>.</w:t>
            </w:r>
            <w:r>
              <w:rPr>
                <w:rFonts w:hint="eastAsia" w:ascii="宋体" w:hAnsi="宋体" w:cs="宋体"/>
                <w:sz w:val="18"/>
                <w:szCs w:val="18"/>
                <w:lang w:val="en-US" w:eastAsia="zh-CN"/>
              </w:rPr>
              <w:t>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639,407,501.13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宋体" w:hAnsi="宋体" w:eastAsia="宋体" w:cs="宋体"/>
                <w:sz w:val="18"/>
                <w:szCs w:val="18"/>
                <w:lang w:val="en-US" w:eastAsia="zh-CN"/>
              </w:rPr>
            </w:pPr>
            <w:r>
              <w:rPr>
                <w:rFonts w:hint="eastAsia" w:ascii="宋体" w:hAnsi="宋体" w:cs="宋体"/>
                <w:sz w:val="18"/>
                <w:szCs w:val="18"/>
                <w:lang w:val="en-US" w:eastAsia="zh-CN"/>
              </w:rPr>
              <w:t>2,000,000.00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101,836,500.62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质押贷款净增加额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宋体" w:hAnsi="宋体" w:eastAsia="宋体" w:cs="宋体"/>
                <w:sz w:val="18"/>
                <w:szCs w:val="18"/>
                <w:lang w:val="en-US" w:eastAsia="zh-CN"/>
              </w:rPr>
            </w:pPr>
            <w:r>
              <w:rPr>
                <w:rFonts w:hint="eastAsia" w:ascii="宋体" w:hAnsi="宋体" w:cs="宋体"/>
                <w:sz w:val="18"/>
                <w:szCs w:val="18"/>
                <w:lang w:val="en-US" w:eastAsia="zh-CN"/>
              </w:rPr>
              <w:t>26,626,762.41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1,150,671,591.63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741,244,001.75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-1,150,569,591.63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-740,844,846.15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其中：子公司吸收少数股东投资收到的现金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6,899,916,601.37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7,717,704,499.83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6,901,716,601.37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7,722,504,499.83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5,449,138,789.07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7,119,855,180.30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427,777,470.04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468,400,228.38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其中：子公司支付给少数股东的股利、利润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86,051,792.57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83,466,144.47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745,636,785.25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213,921,843.90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6,622,553,044.36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7,802,177,252.58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279,163,557.01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-79,672,752.75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-234,975,600.01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-119,826,166.80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1,038,736,055.24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1,134,901,784.46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803,760,455.23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1,015,075,617.66</w:t>
            </w:r>
          </w:p>
        </w:tc>
      </w:tr>
    </w:tbl>
    <w:p>
      <w:pPr>
        <w:keepNext/>
        <w:keepLines/>
        <w:spacing w:before="300" w:after="300" w:line="280" w:lineRule="exact"/>
        <w:jc w:val="left"/>
        <w:outlineLvl w:val="1"/>
        <w:rPr>
          <w:rFonts w:hint="eastAsia" w:ascii="仿宋" w:hAnsi="仿宋" w:eastAsia="仿宋" w:cs="仿宋"/>
          <w:b/>
          <w:bCs/>
          <w:sz w:val="28"/>
          <w:szCs w:val="28"/>
        </w:rPr>
      </w:pPr>
      <w:bookmarkStart w:id="13" w:name="_Toc988902"/>
      <w:r>
        <w:rPr>
          <w:rFonts w:hint="eastAsia" w:ascii="仿宋" w:hAnsi="仿宋" w:eastAsia="仿宋" w:cs="仿宋"/>
          <w:b/>
          <w:bCs/>
          <w:sz w:val="28"/>
          <w:szCs w:val="28"/>
        </w:rPr>
        <w:t>（二） 2024年起首次执行新会计准则调整首次执行当年年初财务报表相关项目情况</w:t>
      </w:r>
      <w:bookmarkEnd w:id="13"/>
    </w:p>
    <w:p>
      <w:pPr>
        <w:keepNext/>
        <w:keepLines/>
        <w:spacing w:before="300" w:after="300" w:line="280" w:lineRule="exact"/>
        <w:jc w:val="left"/>
        <w:outlineLvl w:val="1"/>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□适用 </w:t>
      </w:r>
      <w:r>
        <w:rPr>
          <w:rFonts w:hint="eastAsia" w:ascii="仿宋" w:hAnsi="仿宋" w:eastAsia="仿宋" w:cs="仿宋"/>
          <w:b w:val="0"/>
          <w:bCs w:val="0"/>
          <w:sz w:val="28"/>
          <w:szCs w:val="28"/>
        </w:rPr>
        <w:sym w:font="Wingdings 2" w:char="F052"/>
      </w:r>
      <w:r>
        <w:rPr>
          <w:rFonts w:hint="eastAsia" w:ascii="仿宋" w:hAnsi="仿宋" w:eastAsia="仿宋" w:cs="仿宋"/>
          <w:b w:val="0"/>
          <w:bCs w:val="0"/>
          <w:sz w:val="28"/>
          <w:szCs w:val="28"/>
        </w:rPr>
        <w:t>不适用</w:t>
      </w:r>
    </w:p>
    <w:p>
      <w:pPr>
        <w:keepNext/>
        <w:keepLines/>
        <w:spacing w:before="300" w:after="300" w:line="280" w:lineRule="exact"/>
        <w:jc w:val="left"/>
        <w:outlineLvl w:val="1"/>
        <w:rPr>
          <w:rFonts w:hint="eastAsia" w:ascii="仿宋" w:hAnsi="仿宋" w:eastAsia="仿宋" w:cs="仿宋"/>
          <w:b/>
          <w:bCs/>
          <w:sz w:val="28"/>
          <w:szCs w:val="28"/>
        </w:rPr>
      </w:pPr>
      <w:bookmarkStart w:id="14" w:name="_Toc988903"/>
      <w:r>
        <w:rPr>
          <w:rFonts w:hint="eastAsia" w:ascii="仿宋" w:hAnsi="仿宋" w:eastAsia="仿宋" w:cs="仿宋"/>
          <w:b/>
          <w:bCs/>
          <w:sz w:val="28"/>
          <w:szCs w:val="28"/>
        </w:rPr>
        <w:t>（三） 审计报告</w:t>
      </w:r>
      <w:bookmarkEnd w:id="14"/>
    </w:p>
    <w:p>
      <w:pPr>
        <w:keepNext/>
        <w:keepLines/>
        <w:spacing w:before="300" w:after="300" w:line="280" w:lineRule="exact"/>
        <w:jc w:val="left"/>
        <w:outlineLvl w:val="1"/>
        <w:rPr>
          <w:rFonts w:hint="eastAsia" w:ascii="仿宋" w:hAnsi="仿宋" w:eastAsia="仿宋" w:cs="仿宋"/>
          <w:b w:val="0"/>
          <w:bCs w:val="0"/>
          <w:sz w:val="28"/>
          <w:szCs w:val="28"/>
        </w:rPr>
      </w:pPr>
      <w:r>
        <w:rPr>
          <w:rFonts w:hint="eastAsia" w:ascii="仿宋" w:hAnsi="仿宋" w:eastAsia="仿宋" w:cs="仿宋"/>
          <w:b w:val="0"/>
          <w:bCs w:val="0"/>
          <w:sz w:val="28"/>
          <w:szCs w:val="28"/>
        </w:rPr>
        <w:t>第一季度报告是否经过审计</w:t>
      </w:r>
    </w:p>
    <w:p>
      <w:pPr>
        <w:keepNext/>
        <w:keepLines/>
        <w:spacing w:before="300" w:after="300" w:line="280" w:lineRule="exact"/>
        <w:jc w:val="left"/>
        <w:outlineLvl w:val="1"/>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□是 </w:t>
      </w:r>
      <w:r>
        <w:rPr>
          <w:rFonts w:hint="eastAsia" w:ascii="仿宋" w:hAnsi="仿宋" w:eastAsia="仿宋" w:cs="仿宋"/>
          <w:b w:val="0"/>
          <w:bCs w:val="0"/>
          <w:sz w:val="28"/>
          <w:szCs w:val="28"/>
        </w:rPr>
        <w:sym w:font="Wingdings 2" w:char="F052"/>
      </w:r>
      <w:r>
        <w:rPr>
          <w:rFonts w:hint="eastAsia" w:ascii="仿宋" w:hAnsi="仿宋" w:eastAsia="仿宋" w:cs="仿宋"/>
          <w:b w:val="0"/>
          <w:bCs w:val="0"/>
          <w:sz w:val="28"/>
          <w:szCs w:val="28"/>
        </w:rPr>
        <w:t>否</w:t>
      </w:r>
      <w:bookmarkStart w:id="15" w:name="_GoBack"/>
      <w:bookmarkEnd w:id="15"/>
    </w:p>
    <w:p>
      <w:pPr>
        <w:keepNext/>
        <w:keepLines/>
        <w:spacing w:before="300" w:after="300" w:line="280" w:lineRule="exact"/>
        <w:jc w:val="left"/>
        <w:outlineLvl w:val="1"/>
        <w:rPr>
          <w:rFonts w:hint="eastAsia" w:ascii="仿宋" w:hAnsi="仿宋" w:eastAsia="仿宋" w:cs="仿宋"/>
          <w:sz w:val="28"/>
          <w:szCs w:val="28"/>
        </w:rPr>
      </w:pPr>
      <w:r>
        <w:rPr>
          <w:rFonts w:hint="eastAsia" w:ascii="仿宋" w:hAnsi="仿宋" w:eastAsia="仿宋" w:cs="仿宋"/>
          <w:b w:val="0"/>
          <w:bCs w:val="0"/>
          <w:sz w:val="28"/>
          <w:szCs w:val="28"/>
        </w:rPr>
        <w:t>公司第一季度报告未经审计</w:t>
      </w:r>
      <w:r>
        <w:rPr>
          <w:rFonts w:hint="eastAsia" w:ascii="仿宋" w:hAnsi="仿宋" w:eastAsia="仿宋" w:cs="仿宋"/>
          <w:sz w:val="28"/>
          <w:szCs w:val="28"/>
        </w:rPr>
        <w:t>。</w:t>
      </w:r>
    </w:p>
    <w:p>
      <w:pPr>
        <w:spacing w:before="40" w:after="40" w:line="240" w:lineRule="exact"/>
        <w:jc w:val="right"/>
        <w:rPr>
          <w:rFonts w:hint="eastAsia" w:ascii="仿宋" w:hAnsi="仿宋" w:eastAsia="仿宋" w:cs="仿宋"/>
          <w:sz w:val="28"/>
          <w:szCs w:val="28"/>
        </w:rPr>
      </w:pPr>
    </w:p>
    <w:p>
      <w:pPr>
        <w:spacing w:before="40" w:after="40" w:line="240" w:lineRule="exact"/>
        <w:jc w:val="right"/>
        <w:rPr>
          <w:rFonts w:hint="eastAsia" w:ascii="仿宋" w:hAnsi="仿宋" w:eastAsia="仿宋" w:cs="仿宋"/>
          <w:sz w:val="28"/>
          <w:szCs w:val="28"/>
        </w:rPr>
      </w:pPr>
    </w:p>
    <w:p>
      <w:pPr>
        <w:keepNext/>
        <w:keepLines/>
        <w:spacing w:before="300" w:after="300" w:line="280" w:lineRule="exact"/>
        <w:jc w:val="right"/>
        <w:outlineLvl w:val="1"/>
        <w:rPr>
          <w:rFonts w:hint="eastAsia" w:ascii="仿宋" w:hAnsi="仿宋" w:eastAsia="仿宋" w:cs="仿宋"/>
          <w:b w:val="0"/>
          <w:bCs w:val="0"/>
          <w:sz w:val="28"/>
          <w:szCs w:val="28"/>
        </w:rPr>
      </w:pPr>
      <w:r>
        <w:rPr>
          <w:rFonts w:hint="eastAsia" w:ascii="仿宋" w:hAnsi="仿宋" w:eastAsia="仿宋" w:cs="仿宋"/>
          <w:b w:val="0"/>
          <w:bCs w:val="0"/>
          <w:sz w:val="28"/>
          <w:szCs w:val="28"/>
        </w:rPr>
        <w:t>吉林电力股份有限公司董事会</w:t>
      </w:r>
    </w:p>
    <w:p>
      <w:pPr>
        <w:keepNext/>
        <w:keepLines/>
        <w:spacing w:before="300" w:after="300" w:line="280" w:lineRule="exact"/>
        <w:jc w:val="center"/>
        <w:outlineLvl w:val="1"/>
        <w:rPr>
          <w:rFonts w:hint="eastAsia" w:ascii="仿宋" w:hAnsi="仿宋" w:eastAsia="仿宋" w:cs="仿宋"/>
          <w:b w:val="0"/>
          <w:bCs w:val="0"/>
          <w:sz w:val="28"/>
          <w:szCs w:val="28"/>
        </w:rPr>
      </w:pPr>
      <w:r>
        <w:rPr>
          <w:rFonts w:hint="eastAsia" w:ascii="仿宋" w:hAnsi="仿宋" w:eastAsia="仿宋" w:cs="仿宋"/>
          <w:sz w:val="28"/>
          <w:szCs w:val="28"/>
          <w:lang w:val="en-US" w:eastAsia="zh-CN"/>
        </w:rPr>
        <w:t xml:space="preserve">                                        二〇二四年四月二十六日</w:t>
      </w:r>
    </w:p>
    <w:sectPr>
      <w:headerReference r:id="rId3" w:type="default"/>
      <w:footerReference r:id="rId4" w:type="default"/>
      <w:pgSz w:w="11905" w:h="16840"/>
      <w:pgMar w:top="1440" w:right="1134"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宋体" w:eastAsia="宋体"/>
        <w:sz w:val="18"/>
        <w:szCs w:val="18"/>
      </w:rPr>
      <w:fldChar w:fldCharType="begin"/>
    </w:r>
    <w:r>
      <w:rPr>
        <w:rFonts w:ascii="宋体" w:eastAsia="宋体"/>
        <w:sz w:val="18"/>
        <w:szCs w:val="18"/>
      </w:rPr>
      <w:instrText xml:space="preserve">PAGE   \* MERGEFORMAT</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DIyZDUxMmU3NmEwMTE5M2Q5ZTg0MGVmOGY5OWRhMDQifQ=="/>
  </w:docVars>
  <w:rsids>
    <w:rsidRoot w:val="00000000"/>
    <w:rsid w:val="0B7858A8"/>
    <w:rsid w:val="13B75F94"/>
    <w:rsid w:val="13E5054D"/>
    <w:rsid w:val="1F972919"/>
    <w:rsid w:val="20D521F4"/>
    <w:rsid w:val="267078BD"/>
    <w:rsid w:val="286F2C34"/>
    <w:rsid w:val="41076245"/>
    <w:rsid w:val="43BC06EE"/>
    <w:rsid w:val="4A653FB4"/>
    <w:rsid w:val="4DF70947"/>
    <w:rsid w:val="4E7D63ED"/>
    <w:rsid w:val="4F9C3E9F"/>
    <w:rsid w:val="4FBE50B6"/>
    <w:rsid w:val="570C08DB"/>
    <w:rsid w:val="5A370C34"/>
    <w:rsid w:val="72074BE4"/>
    <w:rsid w:val="73046983"/>
    <w:rsid w:val="7ACF4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next w:val="1"/>
    <w:unhideWhenUsed/>
    <w:qFormat/>
    <w:uiPriority w:val="0"/>
    <w:pPr>
      <w:ind w:firstLine="640" w:firstLineChars="200"/>
    </w:pPr>
    <w:rPr>
      <w:rFonts w:hint="eastAsia"/>
      <w:sz w:val="32"/>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TotalTime>4</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2024-04-29T01:25:00Z</dcterms:created>
  <dc:creator>huawei</dc:creator>
  <cp:lastModifiedBy>WPS_1591103659</cp:lastModifiedBy>
  <dcterms:modified xsi:type="dcterms:W3CDTF">2024-04-29T08:49:48Z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3CBB5E4280584CB8A83F44C660E36792_12</vt:lpwstr>
  </property>
</Properties>
</file>