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highlight w:val="none"/>
          <w:lang w:val="en-US" w:eastAsia="zh-CN"/>
        </w:rPr>
      </w:pPr>
      <w:r>
        <w:rPr>
          <w:highlight w:val="none"/>
        </w:rPr>
        <w:t xml:space="preserve">证券代码：000875   </w:t>
      </w:r>
      <w:r>
        <w:rPr>
          <w:rFonts w:hint="eastAsia"/>
          <w:highlight w:val="none"/>
        </w:rPr>
        <w:t xml:space="preserve">         </w:t>
      </w:r>
      <w:r>
        <w:rPr>
          <w:highlight w:val="none"/>
        </w:rPr>
        <w:t>证券简称：吉电股份</w:t>
      </w:r>
      <w:r>
        <w:rPr>
          <w:rFonts w:hint="eastAsia"/>
          <w:highlight w:val="none"/>
        </w:rPr>
        <w:t xml:space="preserve">               </w:t>
      </w:r>
      <w:r>
        <w:rPr>
          <w:highlight w:val="none"/>
        </w:rPr>
        <w:t>公告编号：20</w:t>
      </w:r>
      <w:r>
        <w:rPr>
          <w:rFonts w:hint="eastAsia"/>
          <w:highlight w:val="none"/>
        </w:rPr>
        <w:t>2</w:t>
      </w:r>
      <w:r>
        <w:rPr>
          <w:rFonts w:hint="eastAsia"/>
          <w:highlight w:val="none"/>
          <w:lang w:val="en-US" w:eastAsia="zh-CN"/>
        </w:rPr>
        <w:t>4</w:t>
      </w:r>
      <w:r>
        <w:rPr>
          <w:rFonts w:hint="eastAsia"/>
          <w:highlight w:val="none"/>
        </w:rPr>
        <w:t>-</w:t>
      </w:r>
      <w:r>
        <w:rPr>
          <w:highlight w:val="none"/>
        </w:rPr>
        <w:t>0</w:t>
      </w:r>
      <w:r>
        <w:rPr>
          <w:rFonts w:hint="eastAsia"/>
          <w:highlight w:val="none"/>
          <w:lang w:val="en-US" w:eastAsia="zh-CN"/>
        </w:rPr>
        <w:t>34</w:t>
      </w:r>
    </w:p>
    <w:p>
      <w:pPr>
        <w:jc w:val="left"/>
        <w:rPr>
          <w:rFonts w:hint="eastAsia"/>
          <w:b/>
          <w:sz w:val="44"/>
          <w:szCs w:val="44"/>
          <w:highlight w:val="none"/>
        </w:rPr>
      </w:pPr>
      <w:r>
        <w:rPr>
          <w:color w:val="FF660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hint="eastAsia" w:ascii="宋体" w:hAnsi="宋体"/>
          <w:b/>
          <w:sz w:val="44"/>
          <w:szCs w:val="44"/>
          <w:highlight w:val="none"/>
        </w:rPr>
      </w:pPr>
      <w:r>
        <w:rPr>
          <w:rFonts w:ascii="宋体" w:hAnsi="宋体"/>
          <w:b/>
          <w:sz w:val="44"/>
          <w:szCs w:val="44"/>
          <w:highlight w:val="none"/>
        </w:rPr>
        <w:t>关于</w:t>
      </w:r>
      <w:r>
        <w:rPr>
          <w:rFonts w:hint="eastAsia" w:ascii="宋体" w:hAnsi="宋体"/>
          <w:b/>
          <w:sz w:val="44"/>
          <w:szCs w:val="44"/>
          <w:highlight w:val="none"/>
          <w:lang w:val="en-US" w:eastAsia="zh-CN"/>
        </w:rPr>
        <w:t>公司</w:t>
      </w:r>
      <w:r>
        <w:rPr>
          <w:rFonts w:ascii="宋体" w:hAnsi="宋体"/>
          <w:b/>
          <w:sz w:val="44"/>
          <w:szCs w:val="44"/>
          <w:highlight w:val="none"/>
        </w:rPr>
        <w:t>与</w:t>
      </w:r>
      <w:r>
        <w:rPr>
          <w:rFonts w:hint="eastAsia" w:ascii="宋体" w:hAnsi="宋体"/>
          <w:b/>
          <w:sz w:val="44"/>
          <w:szCs w:val="44"/>
          <w:highlight w:val="none"/>
        </w:rPr>
        <w:t>国家</w:t>
      </w:r>
      <w:r>
        <w:rPr>
          <w:rFonts w:ascii="宋体" w:hAnsi="宋体"/>
          <w:b/>
          <w:sz w:val="44"/>
          <w:szCs w:val="44"/>
          <w:highlight w:val="none"/>
        </w:rPr>
        <w:t>电投</w:t>
      </w:r>
      <w:r>
        <w:rPr>
          <w:rFonts w:hint="eastAsia" w:ascii="宋体" w:hAnsi="宋体"/>
          <w:b/>
          <w:sz w:val="44"/>
          <w:szCs w:val="44"/>
          <w:highlight w:val="none"/>
        </w:rPr>
        <w:t>集团</w:t>
      </w:r>
      <w:r>
        <w:rPr>
          <w:rFonts w:ascii="宋体" w:hAnsi="宋体"/>
          <w:b/>
          <w:sz w:val="44"/>
          <w:szCs w:val="44"/>
          <w:highlight w:val="none"/>
        </w:rPr>
        <w:t>财务</w:t>
      </w:r>
      <w:r>
        <w:rPr>
          <w:rFonts w:hint="eastAsia" w:ascii="宋体" w:hAnsi="宋体"/>
          <w:b/>
          <w:sz w:val="44"/>
          <w:szCs w:val="44"/>
          <w:highlight w:val="none"/>
        </w:rPr>
        <w:t>有限</w:t>
      </w:r>
      <w:r>
        <w:rPr>
          <w:rFonts w:ascii="宋体" w:hAnsi="宋体"/>
          <w:b/>
          <w:sz w:val="44"/>
          <w:szCs w:val="44"/>
          <w:highlight w:val="none"/>
        </w:rPr>
        <w:t>公司</w:t>
      </w:r>
    </w:p>
    <w:p>
      <w:pPr>
        <w:jc w:val="center"/>
        <w:rPr>
          <w:rFonts w:ascii="宋体" w:hAnsi="宋体"/>
          <w:b/>
          <w:sz w:val="44"/>
          <w:szCs w:val="44"/>
          <w:highlight w:val="none"/>
        </w:rPr>
      </w:pPr>
      <w:r>
        <w:rPr>
          <w:rFonts w:ascii="宋体" w:hAnsi="宋体"/>
          <w:b/>
          <w:sz w:val="44"/>
          <w:szCs w:val="44"/>
          <w:highlight w:val="none"/>
        </w:rPr>
        <w:t>办理存</w:t>
      </w:r>
      <w:r>
        <w:rPr>
          <w:rFonts w:hint="eastAsia" w:ascii="宋体" w:hAnsi="宋体"/>
          <w:b/>
          <w:sz w:val="44"/>
          <w:szCs w:val="44"/>
          <w:highlight w:val="none"/>
        </w:rPr>
        <w:t>款</w:t>
      </w:r>
      <w:r>
        <w:rPr>
          <w:rFonts w:ascii="宋体" w:hAnsi="宋体"/>
          <w:b/>
          <w:sz w:val="44"/>
          <w:szCs w:val="44"/>
          <w:highlight w:val="none"/>
        </w:rPr>
        <w:t>、贷款业务的关联交易公告</w:t>
      </w:r>
    </w:p>
    <w:p>
      <w:pPr>
        <w:jc w:val="center"/>
        <w:rPr>
          <w:sz w:val="44"/>
          <w:szCs w:val="44"/>
          <w:highlight w:val="none"/>
        </w:rPr>
      </w:pPr>
    </w:p>
    <w:p>
      <w:pPr>
        <w:spacing w:line="500" w:lineRule="exact"/>
        <w:ind w:firstLine="562" w:firstLineChars="200"/>
        <w:rPr>
          <w:rFonts w:eastAsia="仿宋"/>
          <w:b/>
          <w:sz w:val="28"/>
          <w:szCs w:val="28"/>
          <w:highlight w:val="none"/>
        </w:rPr>
      </w:pPr>
      <w:r>
        <w:rPr>
          <w:rFonts w:hint="eastAsia" w:hAnsi="仿宋" w:eastAsia="仿宋"/>
          <w:b/>
          <w:sz w:val="28"/>
          <w:szCs w:val="28"/>
          <w:highlight w:val="none"/>
        </w:rPr>
        <w:t>本</w:t>
      </w:r>
      <w:r>
        <w:rPr>
          <w:rFonts w:hAnsi="仿宋" w:eastAsia="仿宋"/>
          <w:b/>
          <w:sz w:val="28"/>
          <w:szCs w:val="28"/>
          <w:highlight w:val="none"/>
        </w:rPr>
        <w:t>公司及</w:t>
      </w:r>
      <w:r>
        <w:rPr>
          <w:rFonts w:hint="eastAsia" w:hAnsi="仿宋" w:eastAsia="仿宋"/>
          <w:b/>
          <w:sz w:val="28"/>
          <w:szCs w:val="28"/>
          <w:highlight w:val="none"/>
        </w:rPr>
        <w:t>董事会成员</w:t>
      </w:r>
      <w:r>
        <w:rPr>
          <w:rFonts w:hAnsi="仿宋" w:eastAsia="仿宋"/>
          <w:b/>
          <w:sz w:val="28"/>
          <w:szCs w:val="28"/>
          <w:highlight w:val="none"/>
        </w:rPr>
        <w:t>保证信息披露</w:t>
      </w:r>
      <w:r>
        <w:rPr>
          <w:rFonts w:hint="eastAsia" w:hAnsi="仿宋" w:eastAsia="仿宋"/>
          <w:b/>
          <w:sz w:val="28"/>
          <w:szCs w:val="28"/>
          <w:highlight w:val="none"/>
        </w:rPr>
        <w:t>的</w:t>
      </w:r>
      <w:r>
        <w:rPr>
          <w:rFonts w:hAnsi="仿宋" w:eastAsia="仿宋"/>
          <w:b/>
          <w:sz w:val="28"/>
          <w:szCs w:val="28"/>
          <w:highlight w:val="none"/>
        </w:rPr>
        <w:t>内容真实、准</w:t>
      </w:r>
      <w:r>
        <w:rPr>
          <w:rFonts w:hint="eastAsia" w:hAnsi="仿宋" w:eastAsia="仿宋"/>
          <w:b/>
          <w:sz w:val="28"/>
          <w:szCs w:val="28"/>
          <w:highlight w:val="none"/>
        </w:rPr>
        <w:t>确、</w:t>
      </w:r>
      <w:r>
        <w:rPr>
          <w:rFonts w:hAnsi="仿宋" w:eastAsia="仿宋"/>
          <w:b/>
          <w:sz w:val="28"/>
          <w:szCs w:val="28"/>
          <w:highlight w:val="none"/>
        </w:rPr>
        <w:t>完整，没有虚假记载、误导性陈述或重大遗漏。</w:t>
      </w:r>
    </w:p>
    <w:p>
      <w:pPr>
        <w:tabs>
          <w:tab w:val="left" w:pos="2985"/>
        </w:tabs>
        <w:ind w:firstLine="562" w:firstLineChars="200"/>
        <w:rPr>
          <w:rFonts w:eastAsia="仿宋"/>
          <w:b/>
          <w:sz w:val="28"/>
          <w:szCs w:val="28"/>
          <w:highlight w:val="none"/>
        </w:rPr>
      </w:pPr>
      <w:r>
        <w:rPr>
          <w:rFonts w:eastAsia="仿宋"/>
          <w:b/>
          <w:sz w:val="28"/>
          <w:szCs w:val="28"/>
          <w:highlight w:val="none"/>
        </w:rPr>
        <w:tab/>
      </w:r>
    </w:p>
    <w:p>
      <w:pPr>
        <w:spacing w:line="560" w:lineRule="exact"/>
        <w:ind w:firstLine="562" w:firstLineChars="200"/>
        <w:rPr>
          <w:rFonts w:eastAsia="仿宋"/>
          <w:b/>
          <w:color w:val="000000"/>
          <w:sz w:val="28"/>
          <w:szCs w:val="28"/>
          <w:highlight w:val="none"/>
        </w:rPr>
      </w:pPr>
      <w:r>
        <w:rPr>
          <w:rFonts w:hAnsi="仿宋" w:eastAsia="仿宋"/>
          <w:b/>
          <w:color w:val="000000"/>
          <w:sz w:val="28"/>
          <w:szCs w:val="28"/>
          <w:highlight w:val="none"/>
        </w:rPr>
        <w:t>一、关联交易概述</w:t>
      </w:r>
    </w:p>
    <w:p>
      <w:pPr>
        <w:spacing w:line="560" w:lineRule="exact"/>
        <w:ind w:firstLine="560" w:firstLineChars="200"/>
        <w:rPr>
          <w:rFonts w:hAnsi="仿宋" w:eastAsia="仿宋"/>
          <w:sz w:val="28"/>
          <w:szCs w:val="28"/>
          <w:highlight w:val="none"/>
        </w:rPr>
      </w:pPr>
      <w:r>
        <w:rPr>
          <w:rFonts w:eastAsia="仿宋"/>
          <w:sz w:val="28"/>
          <w:szCs w:val="28"/>
          <w:highlight w:val="none"/>
        </w:rPr>
        <w:t>1</w:t>
      </w:r>
      <w:r>
        <w:rPr>
          <w:rFonts w:hint="eastAsia" w:hAnsi="仿宋" w:eastAsia="仿宋"/>
          <w:sz w:val="28"/>
          <w:szCs w:val="28"/>
          <w:highlight w:val="none"/>
        </w:rPr>
        <w:t>.</w:t>
      </w:r>
      <w:r>
        <w:rPr>
          <w:rFonts w:hAnsi="仿宋" w:eastAsia="仿宋"/>
          <w:sz w:val="28"/>
          <w:szCs w:val="28"/>
          <w:highlight w:val="none"/>
        </w:rPr>
        <w:t>吉林电力股份有限公司（以下简称</w:t>
      </w:r>
      <w:r>
        <w:rPr>
          <w:rFonts w:eastAsia="仿宋"/>
          <w:sz w:val="28"/>
          <w:szCs w:val="28"/>
          <w:highlight w:val="none"/>
        </w:rPr>
        <w:t>“</w:t>
      </w:r>
      <w:r>
        <w:rPr>
          <w:rFonts w:hAnsi="仿宋" w:eastAsia="仿宋"/>
          <w:sz w:val="28"/>
          <w:szCs w:val="28"/>
          <w:highlight w:val="none"/>
        </w:rPr>
        <w:t>公司</w:t>
      </w:r>
      <w:r>
        <w:rPr>
          <w:rFonts w:eastAsia="仿宋"/>
          <w:sz w:val="28"/>
          <w:szCs w:val="28"/>
          <w:highlight w:val="none"/>
        </w:rPr>
        <w:t>”</w:t>
      </w:r>
      <w:r>
        <w:rPr>
          <w:rFonts w:hAnsi="仿宋" w:eastAsia="仿宋"/>
          <w:sz w:val="28"/>
          <w:szCs w:val="28"/>
          <w:highlight w:val="none"/>
        </w:rPr>
        <w:t>）与</w:t>
      </w:r>
      <w:r>
        <w:rPr>
          <w:rFonts w:hint="eastAsia" w:hAnsi="仿宋" w:eastAsia="仿宋"/>
          <w:sz w:val="28"/>
          <w:szCs w:val="28"/>
          <w:highlight w:val="none"/>
        </w:rPr>
        <w:t>国家</w:t>
      </w:r>
      <w:r>
        <w:rPr>
          <w:rFonts w:hAnsi="仿宋" w:eastAsia="仿宋"/>
          <w:sz w:val="28"/>
          <w:szCs w:val="28"/>
          <w:highlight w:val="none"/>
        </w:rPr>
        <w:t>电投</w:t>
      </w:r>
      <w:r>
        <w:rPr>
          <w:rFonts w:hint="eastAsia" w:hAnsi="仿宋" w:eastAsia="仿宋"/>
          <w:sz w:val="28"/>
          <w:szCs w:val="28"/>
          <w:highlight w:val="none"/>
        </w:rPr>
        <w:t>集团</w:t>
      </w:r>
      <w:r>
        <w:rPr>
          <w:rFonts w:hAnsi="仿宋" w:eastAsia="仿宋"/>
          <w:sz w:val="28"/>
          <w:szCs w:val="28"/>
          <w:highlight w:val="none"/>
        </w:rPr>
        <w:t>财务有限</w:t>
      </w:r>
      <w:r>
        <w:rPr>
          <w:rFonts w:hAnsi="仿宋" w:eastAsia="仿宋"/>
          <w:color w:val="auto"/>
          <w:sz w:val="28"/>
          <w:szCs w:val="28"/>
          <w:highlight w:val="none"/>
        </w:rPr>
        <w:t>公司（以下简称</w:t>
      </w:r>
      <w:r>
        <w:rPr>
          <w:rFonts w:eastAsia="仿宋"/>
          <w:color w:val="auto"/>
          <w:sz w:val="28"/>
          <w:szCs w:val="28"/>
          <w:highlight w:val="none"/>
        </w:rPr>
        <w:t>“</w:t>
      </w:r>
      <w:r>
        <w:rPr>
          <w:rFonts w:hAnsi="仿宋" w:eastAsia="仿宋"/>
          <w:color w:val="auto"/>
          <w:sz w:val="28"/>
          <w:szCs w:val="28"/>
          <w:highlight w:val="none"/>
        </w:rPr>
        <w:t>财务公司</w:t>
      </w:r>
      <w:r>
        <w:rPr>
          <w:rFonts w:eastAsia="仿宋"/>
          <w:color w:val="auto"/>
          <w:sz w:val="28"/>
          <w:szCs w:val="28"/>
          <w:highlight w:val="none"/>
        </w:rPr>
        <w:t>”</w:t>
      </w:r>
      <w:r>
        <w:rPr>
          <w:rFonts w:hAnsi="仿宋" w:eastAsia="仿宋"/>
          <w:color w:val="auto"/>
          <w:sz w:val="28"/>
          <w:szCs w:val="28"/>
          <w:highlight w:val="none"/>
        </w:rPr>
        <w:t>）</w:t>
      </w:r>
      <w:r>
        <w:rPr>
          <w:rFonts w:hint="eastAsia" w:hAnsi="仿宋" w:eastAsia="仿宋"/>
          <w:color w:val="auto"/>
          <w:sz w:val="28"/>
          <w:szCs w:val="28"/>
          <w:highlight w:val="none"/>
          <w:lang w:val="en-US" w:eastAsia="zh-CN"/>
        </w:rPr>
        <w:t>办理存款、贷款业务，</w:t>
      </w:r>
      <w:r>
        <w:rPr>
          <w:rFonts w:hint="eastAsia" w:hAnsi="仿宋" w:eastAsia="仿宋"/>
          <w:color w:val="auto"/>
          <w:sz w:val="28"/>
          <w:szCs w:val="28"/>
          <w:highlight w:val="none"/>
        </w:rPr>
        <w:t>预计</w:t>
      </w:r>
      <w:r>
        <w:rPr>
          <w:rFonts w:hint="eastAsia" w:hAnsi="仿宋" w:eastAsia="仿宋"/>
          <w:color w:val="auto"/>
          <w:sz w:val="28"/>
          <w:szCs w:val="28"/>
          <w:highlight w:val="none"/>
          <w:lang w:eastAsia="zh-CN"/>
        </w:rPr>
        <w:t>2024</w:t>
      </w:r>
      <w:r>
        <w:rPr>
          <w:rFonts w:hint="eastAsia" w:hAnsi="仿宋" w:eastAsia="仿宋"/>
          <w:color w:val="auto"/>
          <w:sz w:val="28"/>
          <w:szCs w:val="28"/>
          <w:highlight w:val="none"/>
        </w:rPr>
        <w:t>年度公司在财务公司结算户上的日最高存款余额不超过</w:t>
      </w:r>
      <w:r>
        <w:rPr>
          <w:rFonts w:hint="eastAsia" w:hAnsi="仿宋" w:eastAsia="仿宋"/>
          <w:color w:val="auto"/>
          <w:sz w:val="28"/>
          <w:szCs w:val="28"/>
          <w:highlight w:val="none"/>
          <w:lang w:val="en-US" w:eastAsia="zh-CN"/>
        </w:rPr>
        <w:t>5</w:t>
      </w:r>
      <w:r>
        <w:rPr>
          <w:rFonts w:hint="eastAsia" w:hAnsi="仿宋" w:eastAsia="仿宋"/>
          <w:color w:val="auto"/>
          <w:sz w:val="28"/>
          <w:szCs w:val="28"/>
          <w:highlight w:val="none"/>
        </w:rPr>
        <w:t>0亿元人民币，贷款额度不超过90亿元人民币（其中委托贷款额度不超过50亿元人民币），授信总额不超过1</w:t>
      </w:r>
      <w:r>
        <w:rPr>
          <w:rFonts w:hAnsi="仿宋" w:eastAsia="仿宋"/>
          <w:color w:val="auto"/>
          <w:sz w:val="28"/>
          <w:szCs w:val="28"/>
          <w:highlight w:val="none"/>
        </w:rPr>
        <w:t>00</w:t>
      </w:r>
      <w:r>
        <w:rPr>
          <w:rFonts w:hint="eastAsia" w:hAnsi="仿宋" w:eastAsia="仿宋"/>
          <w:color w:val="auto"/>
          <w:sz w:val="28"/>
          <w:szCs w:val="28"/>
          <w:highlight w:val="none"/>
        </w:rPr>
        <w:t>亿元人民币。</w:t>
      </w:r>
    </w:p>
    <w:p>
      <w:pPr>
        <w:spacing w:line="560" w:lineRule="exact"/>
        <w:ind w:firstLine="548" w:firstLineChars="196"/>
        <w:rPr>
          <w:rFonts w:eastAsia="仿宋"/>
          <w:sz w:val="28"/>
          <w:szCs w:val="28"/>
          <w:highlight w:val="none"/>
        </w:rPr>
      </w:pPr>
      <w:r>
        <w:rPr>
          <w:rFonts w:hint="eastAsia" w:hAnsi="仿宋" w:eastAsia="仿宋"/>
          <w:sz w:val="28"/>
          <w:szCs w:val="28"/>
          <w:highlight w:val="none"/>
          <w:lang w:val="en-US" w:eastAsia="zh-CN"/>
        </w:rPr>
        <w:t>2.公司与财务公司</w:t>
      </w:r>
      <w:r>
        <w:rPr>
          <w:rFonts w:hAnsi="仿宋" w:eastAsia="仿宋"/>
          <w:sz w:val="28"/>
          <w:szCs w:val="28"/>
          <w:highlight w:val="none"/>
        </w:rPr>
        <w:t>同受国家电力投资集团</w:t>
      </w:r>
      <w:r>
        <w:rPr>
          <w:rFonts w:hint="eastAsia" w:hAnsi="仿宋" w:eastAsia="仿宋"/>
          <w:sz w:val="28"/>
          <w:szCs w:val="28"/>
          <w:highlight w:val="none"/>
        </w:rPr>
        <w:t>有限公司（以下简称“国家电投集团”）</w:t>
      </w:r>
      <w:r>
        <w:rPr>
          <w:rFonts w:hAnsi="仿宋" w:eastAsia="仿宋"/>
          <w:sz w:val="28"/>
          <w:szCs w:val="28"/>
          <w:highlight w:val="none"/>
        </w:rPr>
        <w:t>控制，按照《深圳证券交易所股票</w:t>
      </w:r>
      <w:r>
        <w:rPr>
          <w:rFonts w:hint="eastAsia" w:hAnsi="仿宋" w:eastAsia="仿宋"/>
          <w:sz w:val="28"/>
          <w:szCs w:val="28"/>
          <w:highlight w:val="none"/>
        </w:rPr>
        <w:t>上市</w:t>
      </w:r>
      <w:r>
        <w:rPr>
          <w:rFonts w:hAnsi="仿宋" w:eastAsia="仿宋"/>
          <w:sz w:val="28"/>
          <w:szCs w:val="28"/>
          <w:highlight w:val="none"/>
        </w:rPr>
        <w:t>规则》的规定，本次交易构成关联交易。</w:t>
      </w:r>
    </w:p>
    <w:p>
      <w:pPr>
        <w:autoSpaceDE w:val="0"/>
        <w:autoSpaceDN w:val="0"/>
        <w:adjustRightInd w:val="0"/>
        <w:spacing w:line="600" w:lineRule="exact"/>
        <w:ind w:firstLine="560" w:firstLineChars="200"/>
        <w:rPr>
          <w:rFonts w:eastAsia="仿宋"/>
          <w:sz w:val="28"/>
          <w:szCs w:val="28"/>
          <w:highlight w:val="none"/>
        </w:rPr>
      </w:pPr>
      <w:r>
        <w:rPr>
          <w:rFonts w:eastAsia="仿宋"/>
          <w:sz w:val="28"/>
          <w:szCs w:val="28"/>
          <w:highlight w:val="none"/>
        </w:rPr>
        <w:t>3</w:t>
      </w:r>
      <w:r>
        <w:rPr>
          <w:rFonts w:hint="eastAsia" w:hAnsi="仿宋" w:eastAsia="仿宋"/>
          <w:sz w:val="28"/>
          <w:szCs w:val="28"/>
          <w:highlight w:val="none"/>
        </w:rPr>
        <w:t>.</w:t>
      </w:r>
      <w:r>
        <w:rPr>
          <w:rFonts w:hAnsi="仿宋" w:eastAsia="仿宋"/>
          <w:sz w:val="28"/>
          <w:szCs w:val="28"/>
          <w:highlight w:val="none"/>
        </w:rPr>
        <w:t>公司第</w:t>
      </w:r>
      <w:r>
        <w:rPr>
          <w:rFonts w:hint="eastAsia" w:hAnsi="仿宋" w:eastAsia="仿宋"/>
          <w:sz w:val="28"/>
          <w:szCs w:val="28"/>
          <w:highlight w:val="none"/>
          <w:lang w:val="en-US" w:eastAsia="zh-CN"/>
        </w:rPr>
        <w:t>九</w:t>
      </w:r>
      <w:r>
        <w:rPr>
          <w:rFonts w:hAnsi="仿宋" w:eastAsia="仿宋"/>
          <w:sz w:val="28"/>
          <w:szCs w:val="28"/>
          <w:highlight w:val="none"/>
        </w:rPr>
        <w:t>届董事会第</w:t>
      </w:r>
      <w:r>
        <w:rPr>
          <w:rFonts w:hint="eastAsia" w:hAnsi="仿宋" w:eastAsia="仿宋"/>
          <w:sz w:val="28"/>
          <w:szCs w:val="28"/>
          <w:highlight w:val="none"/>
          <w:lang w:val="en-US" w:eastAsia="zh-CN"/>
        </w:rPr>
        <w:t>十七</w:t>
      </w:r>
      <w:r>
        <w:rPr>
          <w:rFonts w:hAnsi="仿宋" w:eastAsia="仿宋"/>
          <w:sz w:val="28"/>
          <w:szCs w:val="28"/>
          <w:highlight w:val="none"/>
        </w:rPr>
        <w:t>次会议审议通过了《</w:t>
      </w:r>
      <w:r>
        <w:rPr>
          <w:rFonts w:hint="eastAsia" w:hAnsi="仿宋" w:eastAsia="仿宋"/>
          <w:sz w:val="28"/>
          <w:szCs w:val="28"/>
          <w:highlight w:val="none"/>
        </w:rPr>
        <w:t>关于</w:t>
      </w:r>
      <w:r>
        <w:rPr>
          <w:rFonts w:hint="eastAsia" w:hAnsi="仿宋" w:eastAsia="仿宋"/>
          <w:sz w:val="28"/>
          <w:szCs w:val="28"/>
          <w:highlight w:val="none"/>
          <w:lang w:val="en-US" w:eastAsia="zh-CN"/>
        </w:rPr>
        <w:t>公司</w:t>
      </w:r>
      <w:r>
        <w:rPr>
          <w:rFonts w:hint="eastAsia" w:hAnsi="仿宋" w:eastAsia="仿宋"/>
          <w:sz w:val="28"/>
          <w:szCs w:val="28"/>
          <w:highlight w:val="none"/>
        </w:rPr>
        <w:t>与国家电投集团财务有限公司办理存款、贷款业务的议案</w:t>
      </w:r>
      <w:r>
        <w:rPr>
          <w:rFonts w:hAnsi="仿宋" w:eastAsia="仿宋"/>
          <w:sz w:val="28"/>
          <w:szCs w:val="28"/>
          <w:highlight w:val="none"/>
        </w:rPr>
        <w:t>》，</w:t>
      </w:r>
      <w:r>
        <w:rPr>
          <w:rFonts w:hint="eastAsia" w:hAnsi="仿宋" w:eastAsia="仿宋"/>
          <w:sz w:val="28"/>
          <w:szCs w:val="28"/>
          <w:highlight w:val="none"/>
          <w:lang w:val="en-US" w:eastAsia="zh-CN"/>
        </w:rPr>
        <w:t>关</w:t>
      </w:r>
      <w:r>
        <w:rPr>
          <w:rFonts w:hint="eastAsia" w:hAnsi="仿宋" w:eastAsia="仿宋"/>
          <w:sz w:val="28"/>
          <w:szCs w:val="28"/>
          <w:highlight w:val="none"/>
        </w:rPr>
        <w:t>联董事</w:t>
      </w:r>
      <w:r>
        <w:rPr>
          <w:rFonts w:hint="eastAsia" w:hAnsi="仿宋" w:eastAsia="仿宋"/>
          <w:sz w:val="28"/>
          <w:szCs w:val="28"/>
          <w:highlight w:val="none"/>
          <w:lang w:val="en-US" w:eastAsia="zh-CN"/>
        </w:rPr>
        <w:t>李铁证先生、廖剑波</w:t>
      </w:r>
      <w:r>
        <w:rPr>
          <w:rFonts w:hint="eastAsia" w:hAnsi="仿宋" w:eastAsia="仿宋"/>
          <w:sz w:val="28"/>
          <w:szCs w:val="28"/>
          <w:highlight w:val="none"/>
        </w:rPr>
        <w:t>先生回避了本次表决，其他非关联董事一致通过该项议案。</w:t>
      </w:r>
      <w:r>
        <w:rPr>
          <w:rFonts w:hint="default" w:ascii="Times New Roman" w:hAnsi="Times New Roman" w:eastAsia="仿宋" w:cs="Times New Roman"/>
          <w:sz w:val="28"/>
          <w:szCs w:val="28"/>
          <w:highlight w:val="none"/>
        </w:rPr>
        <w:t>该项关联交易</w:t>
      </w:r>
      <w:r>
        <w:rPr>
          <w:rFonts w:hint="eastAsia" w:ascii="Times New Roman" w:hAnsi="Times New Roman" w:eastAsia="仿宋" w:cs="Times New Roman"/>
          <w:sz w:val="28"/>
          <w:szCs w:val="28"/>
          <w:highlight w:val="none"/>
          <w:lang w:val="en-US" w:eastAsia="zh-CN"/>
        </w:rPr>
        <w:t>已</w:t>
      </w:r>
      <w:r>
        <w:rPr>
          <w:rFonts w:hint="eastAsia" w:ascii="Times New Roman" w:eastAsia="仿宋" w:cs="Times New Roman"/>
          <w:sz w:val="28"/>
          <w:szCs w:val="28"/>
          <w:highlight w:val="none"/>
        </w:rPr>
        <w:t>经独立董事专门会议审议通过并</w:t>
      </w:r>
      <w:r>
        <w:rPr>
          <w:rFonts w:hint="eastAsia" w:ascii="Times New Roman" w:eastAsia="仿宋" w:cs="Times New Roman"/>
          <w:sz w:val="28"/>
          <w:szCs w:val="28"/>
          <w:highlight w:val="none"/>
          <w:lang w:val="en-US" w:eastAsia="zh-CN"/>
        </w:rPr>
        <w:t>发表审查</w:t>
      </w:r>
      <w:r>
        <w:rPr>
          <w:rFonts w:hint="eastAsia" w:ascii="Times New Roman" w:eastAsia="仿宋" w:cs="Times New Roman"/>
          <w:sz w:val="28"/>
          <w:szCs w:val="28"/>
          <w:highlight w:val="none"/>
        </w:rPr>
        <w:t>意见</w:t>
      </w:r>
      <w:r>
        <w:rPr>
          <w:rFonts w:hint="default" w:ascii="Times New Roman" w:hAnsi="Times New Roman" w:eastAsia="仿宋" w:cs="Times New Roman"/>
          <w:sz w:val="28"/>
          <w:szCs w:val="28"/>
          <w:highlight w:val="none"/>
        </w:rPr>
        <w:t>。</w:t>
      </w:r>
    </w:p>
    <w:p>
      <w:pPr>
        <w:tabs>
          <w:tab w:val="left" w:pos="8280"/>
        </w:tabs>
        <w:autoSpaceDE w:val="0"/>
        <w:autoSpaceDN w:val="0"/>
        <w:spacing w:line="560" w:lineRule="exact"/>
        <w:ind w:firstLine="560" w:firstLineChars="200"/>
        <w:jc w:val="left"/>
        <w:rPr>
          <w:rFonts w:eastAsia="仿宋"/>
          <w:sz w:val="28"/>
          <w:szCs w:val="28"/>
          <w:highlight w:val="none"/>
        </w:rPr>
      </w:pPr>
      <w:r>
        <w:rPr>
          <w:rFonts w:hAnsi="仿宋" w:eastAsia="仿宋"/>
          <w:sz w:val="28"/>
          <w:szCs w:val="28"/>
          <w:highlight w:val="none"/>
        </w:rPr>
        <w:t>根据《深圳证券交易所</w:t>
      </w:r>
      <w:r>
        <w:rPr>
          <w:rFonts w:hint="eastAsia" w:hAnsi="仿宋" w:eastAsia="仿宋"/>
          <w:sz w:val="28"/>
          <w:szCs w:val="28"/>
          <w:highlight w:val="none"/>
          <w:lang w:val="en-US" w:eastAsia="zh-CN"/>
        </w:rPr>
        <w:t>股票</w:t>
      </w:r>
      <w:r>
        <w:rPr>
          <w:rFonts w:hAnsi="仿宋" w:eastAsia="仿宋"/>
          <w:sz w:val="28"/>
          <w:szCs w:val="28"/>
          <w:highlight w:val="none"/>
        </w:rPr>
        <w:t>上市规则》和</w:t>
      </w:r>
      <w:r>
        <w:rPr>
          <w:rFonts w:hint="eastAsia" w:hAnsi="仿宋" w:eastAsia="仿宋"/>
          <w:sz w:val="28"/>
          <w:szCs w:val="28"/>
          <w:highlight w:val="none"/>
          <w:lang w:val="en-US" w:eastAsia="zh-CN"/>
        </w:rPr>
        <w:t>公司《</w:t>
      </w:r>
      <w:r>
        <w:rPr>
          <w:rFonts w:hAnsi="仿宋" w:eastAsia="仿宋"/>
          <w:sz w:val="28"/>
          <w:szCs w:val="28"/>
          <w:highlight w:val="none"/>
        </w:rPr>
        <w:t>章程》的规定，本次关联交易尚需获得股东大会</w:t>
      </w:r>
      <w:r>
        <w:rPr>
          <w:rFonts w:hint="eastAsia" w:hAnsi="仿宋" w:eastAsia="仿宋"/>
          <w:sz w:val="28"/>
          <w:szCs w:val="28"/>
          <w:highlight w:val="none"/>
        </w:rPr>
        <w:t>的</w:t>
      </w:r>
      <w:r>
        <w:rPr>
          <w:rFonts w:hAnsi="仿宋" w:eastAsia="仿宋"/>
          <w:sz w:val="28"/>
          <w:szCs w:val="28"/>
          <w:highlight w:val="none"/>
        </w:rPr>
        <w:t>批准，与该关联交易有利害关系的关联人将</w:t>
      </w:r>
      <w:r>
        <w:rPr>
          <w:rFonts w:hint="eastAsia" w:hAnsi="仿宋" w:eastAsia="仿宋"/>
          <w:sz w:val="28"/>
          <w:szCs w:val="28"/>
          <w:highlight w:val="none"/>
        </w:rPr>
        <w:t>回避表决</w:t>
      </w:r>
      <w:r>
        <w:rPr>
          <w:rFonts w:hAnsi="仿宋" w:eastAsia="仿宋"/>
          <w:sz w:val="28"/>
          <w:szCs w:val="28"/>
          <w:highlight w:val="none"/>
        </w:rPr>
        <w:t>。</w:t>
      </w:r>
    </w:p>
    <w:p>
      <w:pPr>
        <w:tabs>
          <w:tab w:val="left" w:pos="8280"/>
        </w:tabs>
        <w:autoSpaceDE w:val="0"/>
        <w:autoSpaceDN w:val="0"/>
        <w:spacing w:line="560" w:lineRule="exact"/>
        <w:ind w:firstLine="560" w:firstLineChars="200"/>
        <w:jc w:val="left"/>
        <w:rPr>
          <w:rFonts w:eastAsia="仿宋"/>
          <w:sz w:val="28"/>
          <w:szCs w:val="28"/>
          <w:highlight w:val="none"/>
        </w:rPr>
      </w:pPr>
      <w:r>
        <w:rPr>
          <w:rFonts w:eastAsia="仿宋"/>
          <w:sz w:val="28"/>
          <w:szCs w:val="28"/>
          <w:highlight w:val="none"/>
        </w:rPr>
        <w:t>4</w:t>
      </w:r>
      <w:r>
        <w:rPr>
          <w:rFonts w:hint="eastAsia" w:hAnsi="仿宋" w:eastAsia="仿宋"/>
          <w:sz w:val="28"/>
          <w:szCs w:val="28"/>
          <w:highlight w:val="none"/>
        </w:rPr>
        <w:t>.</w:t>
      </w:r>
      <w:r>
        <w:rPr>
          <w:rFonts w:hAnsi="仿宋" w:eastAsia="仿宋"/>
          <w:sz w:val="28"/>
          <w:szCs w:val="28"/>
          <w:highlight w:val="none"/>
        </w:rPr>
        <w:t>本次关联交易不构成《上市公司重大资产重组管理办法》规定的重大资产重组、不构成</w:t>
      </w:r>
      <w:r>
        <w:rPr>
          <w:rFonts w:hint="eastAsia" w:hAnsi="仿宋" w:eastAsia="仿宋"/>
          <w:sz w:val="28"/>
          <w:szCs w:val="28"/>
          <w:highlight w:val="none"/>
        </w:rPr>
        <w:t>重组上市</w:t>
      </w:r>
      <w:r>
        <w:rPr>
          <w:rFonts w:hAnsi="仿宋" w:eastAsia="仿宋"/>
          <w:sz w:val="28"/>
          <w:szCs w:val="28"/>
          <w:highlight w:val="none"/>
        </w:rPr>
        <w:t>，不需要经过有关部门批准。</w:t>
      </w:r>
    </w:p>
    <w:p>
      <w:pPr>
        <w:spacing w:line="560" w:lineRule="exact"/>
        <w:ind w:firstLine="562" w:firstLineChars="200"/>
        <w:rPr>
          <w:rFonts w:eastAsia="仿宋"/>
          <w:b/>
          <w:sz w:val="28"/>
          <w:szCs w:val="28"/>
          <w:highlight w:val="none"/>
        </w:rPr>
      </w:pPr>
      <w:r>
        <w:rPr>
          <w:rFonts w:hAnsi="仿宋" w:eastAsia="仿宋"/>
          <w:b/>
          <w:sz w:val="28"/>
          <w:szCs w:val="28"/>
          <w:highlight w:val="none"/>
        </w:rPr>
        <w:t>二、关联方介绍</w:t>
      </w:r>
    </w:p>
    <w:p>
      <w:pPr>
        <w:spacing w:line="560" w:lineRule="exact"/>
        <w:ind w:firstLine="560" w:firstLineChars="200"/>
        <w:rPr>
          <w:rFonts w:eastAsia="仿宋"/>
          <w:sz w:val="28"/>
          <w:szCs w:val="28"/>
          <w:highlight w:val="none"/>
        </w:rPr>
      </w:pPr>
      <w:r>
        <w:rPr>
          <w:rFonts w:hAnsi="仿宋" w:eastAsia="仿宋"/>
          <w:sz w:val="28"/>
          <w:szCs w:val="28"/>
          <w:highlight w:val="none"/>
        </w:rPr>
        <w:t>（一）基本情况</w:t>
      </w:r>
    </w:p>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企业名称：国家电投集团财务有限公司</w:t>
      </w:r>
    </w:p>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住所：北京市西城区西直门外大街18号楼金贸大厦3单元19-21层</w:t>
      </w:r>
    </w:p>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企业性质：有限责任公司（港澳台投资、非独资）</w:t>
      </w:r>
    </w:p>
    <w:p>
      <w:pPr>
        <w:autoSpaceDE w:val="0"/>
        <w:autoSpaceDN w:val="0"/>
        <w:adjustRightInd w:val="0"/>
        <w:ind w:firstLine="560" w:firstLineChars="200"/>
        <w:jc w:val="left"/>
        <w:rPr>
          <w:rFonts w:eastAsia="仿宋"/>
          <w:sz w:val="28"/>
          <w:szCs w:val="28"/>
          <w:highlight w:val="none"/>
        </w:rPr>
      </w:pPr>
      <w:r>
        <w:rPr>
          <w:rFonts w:hint="eastAsia" w:hAnsi="仿宋" w:eastAsia="仿宋"/>
          <w:sz w:val="28"/>
          <w:szCs w:val="28"/>
          <w:highlight w:val="none"/>
        </w:rPr>
        <w:t>注册地：北京市西城区西直门外大街18号楼金贸大厦3单元19-21层</w:t>
      </w:r>
    </w:p>
    <w:p>
      <w:pPr>
        <w:spacing w:line="560" w:lineRule="exact"/>
        <w:ind w:firstLine="560" w:firstLineChars="200"/>
        <w:rPr>
          <w:rFonts w:hint="eastAsia" w:hAnsi="仿宋" w:eastAsia="仿宋"/>
          <w:sz w:val="28"/>
          <w:szCs w:val="28"/>
          <w:highlight w:val="yellow"/>
        </w:rPr>
      </w:pPr>
      <w:r>
        <w:rPr>
          <w:rFonts w:hint="eastAsia" w:hAnsi="仿宋" w:eastAsia="仿宋"/>
          <w:sz w:val="28"/>
          <w:szCs w:val="28"/>
          <w:highlight w:val="none"/>
        </w:rPr>
        <w:t>法定代表人：尹国平</w:t>
      </w:r>
    </w:p>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注册资本：</w:t>
      </w:r>
      <w:r>
        <w:rPr>
          <w:rFonts w:hAnsi="仿宋" w:eastAsia="仿宋"/>
          <w:sz w:val="28"/>
          <w:szCs w:val="28"/>
          <w:highlight w:val="none"/>
        </w:rPr>
        <w:t>人民币</w:t>
      </w:r>
      <w:r>
        <w:rPr>
          <w:rFonts w:hint="eastAsia" w:hAnsi="仿宋" w:eastAsia="仿宋"/>
          <w:sz w:val="28"/>
          <w:szCs w:val="28"/>
          <w:highlight w:val="none"/>
          <w:lang w:val="en-US" w:eastAsia="zh-CN"/>
        </w:rPr>
        <w:t>75</w:t>
      </w:r>
      <w:r>
        <w:rPr>
          <w:rFonts w:hint="eastAsia" w:hAnsi="仿宋" w:eastAsia="仿宋"/>
          <w:sz w:val="28"/>
          <w:szCs w:val="28"/>
          <w:highlight w:val="none"/>
        </w:rPr>
        <w:t>0,000</w:t>
      </w:r>
      <w:r>
        <w:rPr>
          <w:rFonts w:hAnsi="仿宋" w:eastAsia="仿宋"/>
          <w:sz w:val="28"/>
          <w:szCs w:val="28"/>
          <w:highlight w:val="none"/>
        </w:rPr>
        <w:t>万元</w:t>
      </w:r>
    </w:p>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企业统一社会信用代码：911100001922079532</w:t>
      </w:r>
    </w:p>
    <w:p>
      <w:pPr>
        <w:spacing w:line="240" w:lineRule="auto"/>
        <w:ind w:firstLine="560" w:firstLineChars="200"/>
        <w:rPr>
          <w:rFonts w:hint="eastAsia" w:hAnsi="仿宋" w:eastAsia="仿宋"/>
          <w:sz w:val="28"/>
          <w:szCs w:val="28"/>
          <w:highlight w:val="none"/>
        </w:rPr>
      </w:pPr>
      <w:r>
        <w:rPr>
          <w:rFonts w:hint="eastAsia" w:hAnsi="仿宋" w:eastAsia="仿宋"/>
          <w:sz w:val="28"/>
          <w:szCs w:val="28"/>
          <w:highlight w:val="none"/>
        </w:rPr>
        <w:t>主营</w:t>
      </w:r>
      <w:r>
        <w:rPr>
          <w:rFonts w:hAnsi="仿宋" w:eastAsia="仿宋"/>
          <w:sz w:val="28"/>
          <w:szCs w:val="28"/>
          <w:highlight w:val="none"/>
        </w:rPr>
        <w:t>业务：</w:t>
      </w:r>
      <w:r>
        <w:rPr>
          <w:rFonts w:hint="eastAsia" w:hAnsi="仿宋" w:eastAsia="仿宋"/>
          <w:sz w:val="28"/>
          <w:szCs w:val="28"/>
          <w:highlight w:val="none"/>
        </w:rPr>
        <w:t>经营集团成员单位的下列人民币金融业务及外汇金融业务；对成员单位办理财和融资顾问、信用鉴证及相关的咨询、代理业务；协助成员单位实现交易款项的收付；经批准的保险代理业务；对成员单位提供担保；办理成员单位之间的委托贷款及委托投资；对成员单位办理票据承兑与贴现；办理成员单位之间的内部转帐结算及相应的结算、清算方案设计；吸收成员单位的存款；对成员单位办理贷及融资租赁；从事同业拆借；经批准发行财务公司债券；承销成员单位的企业债券；对金融机构的股权投资；有价证券投资；成员单位产品的消费信贷、买方信贷及融资租赁。（市场主体依法自主选择经营项目，开展经营活动；依法须经批准的项目，经相关部门批准后依批准的内容开展经营活动；不得从事国家和本市产业政策禁止和限制类项目的经营活动。）</w:t>
      </w:r>
    </w:p>
    <w:p>
      <w:pPr>
        <w:spacing w:line="240" w:lineRule="auto"/>
        <w:ind w:firstLine="560" w:firstLineChars="200"/>
        <w:rPr>
          <w:rFonts w:hint="eastAsia" w:hAnsi="仿宋" w:eastAsia="仿宋"/>
          <w:sz w:val="28"/>
          <w:szCs w:val="28"/>
          <w:highlight w:val="none"/>
        </w:rPr>
      </w:pPr>
      <w:r>
        <w:rPr>
          <w:rFonts w:hint="eastAsia" w:hAnsi="仿宋" w:eastAsia="仿宋"/>
          <w:sz w:val="28"/>
          <w:szCs w:val="28"/>
          <w:highlight w:val="none"/>
        </w:rPr>
        <w:t>主要股东和实际控制人：</w:t>
      </w:r>
    </w:p>
    <w:p>
      <w:pPr>
        <w:spacing w:line="240" w:lineRule="auto"/>
        <w:ind w:firstLine="560" w:firstLineChars="200"/>
        <w:rPr>
          <w:rFonts w:hint="eastAsia" w:hAnsi="仿宋" w:eastAsia="仿宋"/>
          <w:sz w:val="28"/>
          <w:szCs w:val="28"/>
          <w:highlight w:val="none"/>
        </w:rPr>
      </w:pPr>
      <w:r>
        <w:rPr>
          <w:rFonts w:hAnsi="仿宋" w:eastAsia="仿宋"/>
          <w:sz w:val="28"/>
          <w:szCs w:val="28"/>
          <w:highlight w:val="none"/>
        </w:rPr>
        <w:t>国家电投</w:t>
      </w:r>
      <w:r>
        <w:rPr>
          <w:rFonts w:hint="eastAsia" w:hAnsi="仿宋" w:eastAsia="仿宋"/>
          <w:sz w:val="28"/>
          <w:szCs w:val="28"/>
          <w:highlight w:val="none"/>
        </w:rPr>
        <w:t>集团</w:t>
      </w:r>
      <w:r>
        <w:rPr>
          <w:rFonts w:hint="eastAsia" w:hAnsi="仿宋" w:eastAsia="仿宋"/>
          <w:sz w:val="28"/>
          <w:szCs w:val="28"/>
          <w:highlight w:val="none"/>
          <w:lang w:val="en-US" w:eastAsia="zh-CN"/>
        </w:rPr>
        <w:t>持股比例</w:t>
      </w:r>
      <w:r>
        <w:rPr>
          <w:rFonts w:eastAsia="仿宋"/>
          <w:sz w:val="28"/>
          <w:szCs w:val="28"/>
          <w:highlight w:val="none"/>
        </w:rPr>
        <w:t>4</w:t>
      </w:r>
      <w:r>
        <w:rPr>
          <w:rFonts w:hint="eastAsia" w:eastAsia="仿宋"/>
          <w:sz w:val="28"/>
          <w:szCs w:val="28"/>
          <w:highlight w:val="none"/>
          <w:lang w:val="en-US" w:eastAsia="zh-CN"/>
        </w:rPr>
        <w:t>0.86</w:t>
      </w:r>
      <w:r>
        <w:rPr>
          <w:rFonts w:eastAsia="仿宋"/>
          <w:sz w:val="28"/>
          <w:szCs w:val="28"/>
          <w:highlight w:val="none"/>
        </w:rPr>
        <w:t>%</w:t>
      </w:r>
      <w:r>
        <w:rPr>
          <w:rFonts w:hAnsi="仿宋" w:eastAsia="仿宋"/>
          <w:sz w:val="28"/>
          <w:szCs w:val="28"/>
          <w:highlight w:val="none"/>
        </w:rPr>
        <w:t>，其余</w:t>
      </w:r>
      <w:r>
        <w:rPr>
          <w:rFonts w:eastAsia="仿宋"/>
          <w:sz w:val="28"/>
          <w:szCs w:val="28"/>
          <w:highlight w:val="none"/>
        </w:rPr>
        <w:t>5</w:t>
      </w:r>
      <w:r>
        <w:rPr>
          <w:rFonts w:hint="eastAsia" w:eastAsia="仿宋"/>
          <w:sz w:val="28"/>
          <w:szCs w:val="28"/>
          <w:highlight w:val="none"/>
          <w:lang w:val="en-US" w:eastAsia="zh-CN"/>
        </w:rPr>
        <w:t>9.14</w:t>
      </w:r>
      <w:r>
        <w:rPr>
          <w:rFonts w:eastAsia="仿宋"/>
          <w:sz w:val="28"/>
          <w:szCs w:val="28"/>
          <w:highlight w:val="none"/>
        </w:rPr>
        <w:t>%</w:t>
      </w:r>
      <w:r>
        <w:rPr>
          <w:rFonts w:hint="eastAsia" w:hAnsi="仿宋" w:eastAsia="仿宋"/>
          <w:sz w:val="28"/>
          <w:szCs w:val="28"/>
          <w:highlight w:val="none"/>
          <w:lang w:val="en-US" w:eastAsia="zh-CN"/>
        </w:rPr>
        <w:t>股份</w:t>
      </w:r>
      <w:r>
        <w:rPr>
          <w:rFonts w:hAnsi="仿宋" w:eastAsia="仿宋"/>
          <w:sz w:val="28"/>
          <w:szCs w:val="28"/>
          <w:highlight w:val="none"/>
        </w:rPr>
        <w:t>由国家电投</w:t>
      </w:r>
      <w:r>
        <w:rPr>
          <w:rFonts w:hint="eastAsia" w:hAnsi="仿宋" w:eastAsia="仿宋"/>
          <w:sz w:val="28"/>
          <w:szCs w:val="28"/>
          <w:highlight w:val="none"/>
        </w:rPr>
        <w:t>集团</w:t>
      </w:r>
      <w:r>
        <w:rPr>
          <w:rFonts w:hAnsi="仿宋" w:eastAsia="仿宋"/>
          <w:sz w:val="28"/>
          <w:szCs w:val="28"/>
          <w:highlight w:val="none"/>
        </w:rPr>
        <w:t>的</w:t>
      </w:r>
      <w:r>
        <w:rPr>
          <w:rFonts w:hint="eastAsia" w:hAnsi="仿宋" w:eastAsia="仿宋"/>
          <w:sz w:val="28"/>
          <w:szCs w:val="28"/>
          <w:highlight w:val="none"/>
          <w:lang w:val="en-US" w:eastAsia="zh-CN"/>
        </w:rPr>
        <w:t>所属企业持有，国家电投集团为财务公司的实际控制人</w:t>
      </w:r>
      <w:r>
        <w:rPr>
          <w:rFonts w:hAnsi="仿宋" w:eastAsia="仿宋"/>
          <w:sz w:val="28"/>
          <w:szCs w:val="28"/>
          <w:highlight w:val="none"/>
        </w:rPr>
        <w:t>。</w:t>
      </w:r>
    </w:p>
    <w:p>
      <w:pPr>
        <w:spacing w:line="560" w:lineRule="exact"/>
        <w:ind w:firstLine="560" w:firstLineChars="200"/>
        <w:rPr>
          <w:rFonts w:hint="eastAsia" w:hAnsi="仿宋" w:eastAsia="仿宋"/>
          <w:sz w:val="28"/>
          <w:szCs w:val="28"/>
          <w:highlight w:val="none"/>
          <w:lang w:eastAsia="zh-CN"/>
        </w:rPr>
      </w:pPr>
      <w:r>
        <w:rPr>
          <w:rFonts w:hint="eastAsia" w:hAnsi="仿宋" w:eastAsia="仿宋"/>
          <w:sz w:val="28"/>
          <w:szCs w:val="28"/>
          <w:highlight w:val="none"/>
        </w:rPr>
        <w:t>（二）财务公司经营情况</w:t>
      </w:r>
    </w:p>
    <w:p>
      <w:pPr>
        <w:keepNext w:val="0"/>
        <w:keepLines w:val="0"/>
        <w:pageBreakBefore w:val="0"/>
        <w:widowControl w:val="0"/>
        <w:kinsoku/>
        <w:overflowPunct/>
        <w:topLinePunct w:val="0"/>
        <w:bidi w:val="0"/>
        <w:adjustRightInd/>
        <w:snapToGrid/>
        <w:spacing w:line="560" w:lineRule="exact"/>
        <w:ind w:firstLine="555"/>
        <w:jc w:val="right"/>
        <w:textAlignment w:val="auto"/>
        <w:rPr>
          <w:rFonts w:hAnsi="仿宋" w:eastAsia="仿宋"/>
          <w:kern w:val="28"/>
          <w:szCs w:val="28"/>
          <w:highlight w:val="none"/>
        </w:rPr>
      </w:pPr>
      <w:r>
        <w:rPr>
          <w:rFonts w:hint="eastAsia" w:hAnsi="仿宋" w:eastAsia="仿宋" w:cs="仿宋"/>
          <w:kern w:val="28"/>
          <w:szCs w:val="28"/>
          <w:highlight w:val="none"/>
        </w:rPr>
        <w:t>单位：万元</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431"/>
        <w:gridCol w:w="1956"/>
        <w:gridCol w:w="1542"/>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ascii="Times New Roman" w:hAnsi="仿宋" w:eastAsia="仿宋" w:cs="仿宋"/>
                <w:kern w:val="28"/>
                <w:sz w:val="24"/>
                <w:szCs w:val="24"/>
                <w:highlight w:val="none"/>
              </w:rPr>
              <w:t>序号</w:t>
            </w:r>
          </w:p>
        </w:tc>
        <w:tc>
          <w:tcPr>
            <w:tcW w:w="1431"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ascii="Times New Roman" w:hAnsi="仿宋" w:eastAsia="仿宋" w:cs="仿宋"/>
                <w:kern w:val="28"/>
                <w:sz w:val="24"/>
                <w:szCs w:val="24"/>
                <w:highlight w:val="none"/>
              </w:rPr>
              <w:t>年份</w:t>
            </w:r>
          </w:p>
        </w:tc>
        <w:tc>
          <w:tcPr>
            <w:tcW w:w="1956"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ascii="Times New Roman" w:hAnsi="仿宋" w:eastAsia="仿宋" w:cs="仿宋"/>
                <w:kern w:val="28"/>
                <w:sz w:val="24"/>
                <w:szCs w:val="24"/>
                <w:highlight w:val="none"/>
              </w:rPr>
              <w:t>营业收入</w:t>
            </w:r>
          </w:p>
        </w:tc>
        <w:tc>
          <w:tcPr>
            <w:tcW w:w="1542"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ascii="Times New Roman" w:hAnsi="仿宋" w:eastAsia="仿宋" w:cs="仿宋"/>
                <w:kern w:val="28"/>
                <w:sz w:val="24"/>
                <w:szCs w:val="24"/>
                <w:highlight w:val="none"/>
              </w:rPr>
              <w:t>净资产</w:t>
            </w:r>
          </w:p>
        </w:tc>
        <w:tc>
          <w:tcPr>
            <w:tcW w:w="1830"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ascii="Times New Roman" w:hAnsi="仿宋" w:eastAsia="仿宋" w:cs="仿宋"/>
                <w:kern w:val="28"/>
                <w:sz w:val="24"/>
                <w:szCs w:val="24"/>
                <w:highlight w:val="none"/>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default" w:ascii="Times New Roman" w:hAnsi="仿宋" w:eastAsia="仿宋" w:cs="Times New Roman"/>
                <w:kern w:val="28"/>
                <w:sz w:val="24"/>
                <w:szCs w:val="24"/>
                <w:highlight w:val="none"/>
              </w:rPr>
              <w:t>1</w:t>
            </w:r>
          </w:p>
        </w:tc>
        <w:tc>
          <w:tcPr>
            <w:tcW w:w="1431"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eastAsia" w:ascii="Times New Roman" w:hAnsi="仿宋" w:eastAsia="仿宋" w:cs="Times New Roman"/>
                <w:kern w:val="28"/>
                <w:sz w:val="24"/>
                <w:szCs w:val="24"/>
                <w:highlight w:val="none"/>
                <w:lang w:val="en-US" w:eastAsia="zh-CN"/>
              </w:rPr>
            </w:pPr>
            <w:r>
              <w:rPr>
                <w:rFonts w:hint="eastAsia" w:hAnsi="仿宋" w:eastAsia="仿宋" w:cs="Times New Roman"/>
                <w:kern w:val="28"/>
                <w:sz w:val="24"/>
                <w:szCs w:val="24"/>
                <w:highlight w:val="none"/>
                <w:lang w:eastAsia="zh-CN"/>
              </w:rPr>
              <w:t>2023</w:t>
            </w:r>
          </w:p>
        </w:tc>
        <w:tc>
          <w:tcPr>
            <w:tcW w:w="1956"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hAnsi="仿宋" w:eastAsia="仿宋" w:cs="Times New Roman"/>
                <w:kern w:val="28"/>
                <w:sz w:val="24"/>
                <w:highlight w:val="none"/>
                <w:lang w:val="en-US" w:eastAsia="zh-CN"/>
              </w:rPr>
              <w:t>177</w:t>
            </w:r>
            <w:r>
              <w:rPr>
                <w:rFonts w:hint="eastAsia" w:ascii="Times New Roman" w:hAnsi="仿宋" w:eastAsia="仿宋" w:cs="Times New Roman"/>
                <w:kern w:val="28"/>
                <w:sz w:val="24"/>
                <w:highlight w:val="none"/>
                <w:lang w:val="en-US" w:eastAsia="zh-CN"/>
              </w:rPr>
              <w:t>,</w:t>
            </w:r>
            <w:r>
              <w:rPr>
                <w:rFonts w:hint="eastAsia" w:hAnsi="仿宋" w:eastAsia="仿宋" w:cs="Times New Roman"/>
                <w:kern w:val="28"/>
                <w:sz w:val="24"/>
                <w:highlight w:val="none"/>
                <w:lang w:val="en-US" w:eastAsia="zh-CN"/>
              </w:rPr>
              <w:t>899</w:t>
            </w:r>
            <w:r>
              <w:rPr>
                <w:rFonts w:hint="eastAsia" w:ascii="Times New Roman" w:hAnsi="仿宋" w:eastAsia="仿宋" w:cs="Times New Roman"/>
                <w:kern w:val="28"/>
                <w:sz w:val="24"/>
                <w:highlight w:val="none"/>
              </w:rPr>
              <w:t>.</w:t>
            </w:r>
            <w:r>
              <w:rPr>
                <w:rFonts w:hint="eastAsia" w:hAnsi="仿宋" w:eastAsia="仿宋" w:cs="Times New Roman"/>
                <w:kern w:val="28"/>
                <w:sz w:val="24"/>
                <w:highlight w:val="none"/>
                <w:lang w:val="en-US" w:eastAsia="zh-CN"/>
              </w:rPr>
              <w:t>65</w:t>
            </w:r>
          </w:p>
        </w:tc>
        <w:tc>
          <w:tcPr>
            <w:tcW w:w="1542"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ascii="Times New Roman" w:hAnsi="仿宋" w:eastAsia="仿宋" w:cs="Times New Roman"/>
                <w:kern w:val="28"/>
                <w:sz w:val="24"/>
                <w:highlight w:val="none"/>
              </w:rPr>
              <w:t>1</w:t>
            </w:r>
            <w:r>
              <w:rPr>
                <w:rFonts w:hint="eastAsia" w:ascii="Times New Roman" w:hAnsi="仿宋" w:eastAsia="仿宋" w:cs="Times New Roman"/>
                <w:kern w:val="28"/>
                <w:sz w:val="24"/>
                <w:highlight w:val="none"/>
                <w:lang w:val="en-US" w:eastAsia="zh-CN"/>
              </w:rPr>
              <w:t>,</w:t>
            </w:r>
            <w:r>
              <w:rPr>
                <w:rFonts w:hint="eastAsia" w:ascii="Times New Roman" w:hAnsi="仿宋" w:eastAsia="仿宋" w:cs="Times New Roman"/>
                <w:kern w:val="28"/>
                <w:sz w:val="24"/>
                <w:highlight w:val="none"/>
              </w:rPr>
              <w:t>5</w:t>
            </w:r>
            <w:r>
              <w:rPr>
                <w:rFonts w:hint="eastAsia" w:hAnsi="仿宋" w:eastAsia="仿宋" w:cs="Times New Roman"/>
                <w:kern w:val="28"/>
                <w:sz w:val="24"/>
                <w:highlight w:val="none"/>
                <w:lang w:val="en-US" w:eastAsia="zh-CN"/>
              </w:rPr>
              <w:t>94</w:t>
            </w:r>
            <w:r>
              <w:rPr>
                <w:rFonts w:hint="eastAsia" w:ascii="Times New Roman" w:hAnsi="仿宋" w:eastAsia="仿宋" w:cs="Times New Roman"/>
                <w:kern w:val="28"/>
                <w:sz w:val="24"/>
                <w:highlight w:val="none"/>
                <w:lang w:val="en-US" w:eastAsia="zh-CN"/>
              </w:rPr>
              <w:t>,</w:t>
            </w:r>
            <w:r>
              <w:rPr>
                <w:rFonts w:hint="eastAsia" w:hAnsi="仿宋" w:eastAsia="仿宋" w:cs="Times New Roman"/>
                <w:kern w:val="28"/>
                <w:sz w:val="24"/>
                <w:highlight w:val="none"/>
                <w:lang w:val="en-US" w:eastAsia="zh-CN"/>
              </w:rPr>
              <w:t>775</w:t>
            </w:r>
            <w:r>
              <w:rPr>
                <w:rFonts w:hint="eastAsia" w:ascii="Times New Roman" w:hAnsi="仿宋" w:eastAsia="仿宋" w:cs="Times New Roman"/>
                <w:kern w:val="28"/>
                <w:sz w:val="24"/>
                <w:highlight w:val="none"/>
              </w:rPr>
              <w:t>.</w:t>
            </w:r>
            <w:r>
              <w:rPr>
                <w:rFonts w:hint="eastAsia" w:hAnsi="仿宋" w:eastAsia="仿宋" w:cs="Times New Roman"/>
                <w:kern w:val="28"/>
                <w:sz w:val="24"/>
                <w:highlight w:val="none"/>
                <w:lang w:val="en-US" w:eastAsia="zh-CN"/>
              </w:rPr>
              <w:t>02</w:t>
            </w:r>
          </w:p>
        </w:tc>
        <w:tc>
          <w:tcPr>
            <w:tcW w:w="1830" w:type="dxa"/>
            <w:noWrap w:val="0"/>
            <w:vAlign w:val="center"/>
          </w:tcPr>
          <w:p>
            <w:pPr>
              <w:keepNext w:val="0"/>
              <w:keepLines w:val="0"/>
              <w:pageBreakBefore w:val="0"/>
              <w:widowControl w:val="0"/>
              <w:suppressLineNumbers w:val="0"/>
              <w:kinsoku/>
              <w:overflowPunct/>
              <w:topLinePunct w:val="0"/>
              <w:bidi w:val="0"/>
              <w:adjustRightInd/>
              <w:snapToGrid/>
              <w:spacing w:before="0" w:beforeAutospacing="0" w:after="0" w:afterAutospacing="0" w:line="560" w:lineRule="exact"/>
              <w:ind w:left="0" w:leftChars="0" w:right="0" w:rightChars="0"/>
              <w:jc w:val="center"/>
              <w:textAlignment w:val="auto"/>
              <w:rPr>
                <w:rFonts w:hint="default" w:ascii="Times New Roman" w:hAnsi="仿宋" w:eastAsia="仿宋" w:cs="Times New Roman"/>
                <w:kern w:val="28"/>
                <w:sz w:val="24"/>
                <w:szCs w:val="24"/>
                <w:highlight w:val="none"/>
              </w:rPr>
            </w:pPr>
            <w:r>
              <w:rPr>
                <w:rFonts w:hint="eastAsia" w:hAnsi="仿宋" w:eastAsia="仿宋" w:cs="Times New Roman"/>
                <w:kern w:val="28"/>
                <w:sz w:val="24"/>
                <w:highlight w:val="none"/>
                <w:lang w:val="en-US" w:eastAsia="zh-CN"/>
              </w:rPr>
              <w:t>117</w:t>
            </w:r>
            <w:r>
              <w:rPr>
                <w:rFonts w:hint="eastAsia" w:ascii="Times New Roman" w:hAnsi="仿宋" w:eastAsia="仿宋" w:cs="Times New Roman"/>
                <w:kern w:val="28"/>
                <w:sz w:val="24"/>
                <w:highlight w:val="none"/>
                <w:lang w:val="en-US" w:eastAsia="zh-CN"/>
              </w:rPr>
              <w:t>,</w:t>
            </w:r>
            <w:r>
              <w:rPr>
                <w:rFonts w:hint="eastAsia" w:hAnsi="仿宋" w:eastAsia="仿宋" w:cs="Times New Roman"/>
                <w:kern w:val="28"/>
                <w:sz w:val="24"/>
                <w:highlight w:val="none"/>
                <w:lang w:val="en-US" w:eastAsia="zh-CN"/>
              </w:rPr>
              <w:t>894</w:t>
            </w:r>
            <w:r>
              <w:rPr>
                <w:rFonts w:hint="eastAsia" w:ascii="Times New Roman" w:hAnsi="仿宋" w:eastAsia="仿宋" w:cs="Times New Roman"/>
                <w:kern w:val="28"/>
                <w:sz w:val="24"/>
                <w:highlight w:val="none"/>
              </w:rPr>
              <w:t>.</w:t>
            </w:r>
            <w:r>
              <w:rPr>
                <w:rFonts w:hint="eastAsia" w:hAnsi="仿宋" w:eastAsia="仿宋" w:cs="Times New Roman"/>
                <w:kern w:val="28"/>
                <w:sz w:val="24"/>
                <w:highlight w:val="none"/>
                <w:lang w:val="en-US" w:eastAsia="zh-CN"/>
              </w:rPr>
              <w:t>80</w:t>
            </w:r>
          </w:p>
        </w:tc>
      </w:tr>
    </w:tbl>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（三）构成何种关联关系</w:t>
      </w:r>
    </w:p>
    <w:p>
      <w:pPr>
        <w:spacing w:line="240" w:lineRule="auto"/>
        <w:ind w:firstLine="560" w:firstLineChars="200"/>
        <w:rPr>
          <w:rFonts w:hint="default" w:hAnsi="仿宋" w:eastAsia="仿宋"/>
          <w:sz w:val="28"/>
          <w:szCs w:val="28"/>
          <w:highlight w:val="none"/>
          <w:lang w:val="en-US" w:eastAsia="zh-CN"/>
        </w:rPr>
      </w:pPr>
      <w:r>
        <w:rPr>
          <w:rFonts w:hint="eastAsia" w:hAnsi="仿宋" w:eastAsia="仿宋"/>
          <w:sz w:val="28"/>
          <w:szCs w:val="28"/>
          <w:highlight w:val="none"/>
          <w:lang w:val="en-US" w:eastAsia="zh-CN"/>
        </w:rPr>
        <w:t>国家电投集团及其所属企业合计持有财务公司100%股权，国家电投集团是财务公司的实际控制人。</w:t>
      </w:r>
      <w:r>
        <w:rPr>
          <w:rFonts w:hAnsi="仿宋" w:eastAsia="仿宋"/>
          <w:sz w:val="28"/>
          <w:szCs w:val="28"/>
          <w:highlight w:val="none"/>
        </w:rPr>
        <w:t>公司与财务公司同受国家电投集团控制</w:t>
      </w:r>
      <w:r>
        <w:rPr>
          <w:rFonts w:hint="eastAsia" w:hAnsi="仿宋" w:eastAsia="仿宋"/>
          <w:sz w:val="28"/>
          <w:szCs w:val="28"/>
          <w:highlight w:val="none"/>
          <w:lang w:eastAsia="zh-CN"/>
        </w:rPr>
        <w:t>，</w:t>
      </w:r>
      <w:r>
        <w:rPr>
          <w:rFonts w:hint="eastAsia" w:hAnsi="仿宋" w:eastAsia="仿宋"/>
          <w:sz w:val="28"/>
          <w:szCs w:val="28"/>
          <w:highlight w:val="none"/>
          <w:lang w:val="en-US" w:eastAsia="zh-CN"/>
        </w:rPr>
        <w:t>构成关联关系。</w:t>
      </w:r>
    </w:p>
    <w:p>
      <w:pPr>
        <w:spacing w:line="560" w:lineRule="exact"/>
        <w:ind w:firstLine="560" w:firstLineChars="200"/>
        <w:rPr>
          <w:rFonts w:hint="eastAsia" w:eastAsia="仿宋"/>
          <w:sz w:val="28"/>
          <w:szCs w:val="28"/>
          <w:highlight w:val="none"/>
        </w:rPr>
      </w:pPr>
      <w:r>
        <w:rPr>
          <w:rFonts w:hint="eastAsia" w:hAnsi="仿宋" w:eastAsia="仿宋"/>
          <w:sz w:val="28"/>
          <w:szCs w:val="28"/>
          <w:highlight w:val="none"/>
        </w:rPr>
        <w:t>（四）经查，国家电投集团财务有限公司不是失信被执行人。</w:t>
      </w:r>
    </w:p>
    <w:p>
      <w:pPr>
        <w:numPr>
          <w:ilvl w:val="0"/>
          <w:numId w:val="0"/>
        </w:numPr>
        <w:tabs>
          <w:tab w:val="left" w:pos="8280"/>
        </w:tabs>
        <w:autoSpaceDE w:val="0"/>
        <w:autoSpaceDN w:val="0"/>
        <w:adjustRightInd w:val="0"/>
        <w:ind w:firstLine="562" w:firstLineChars="200"/>
        <w:jc w:val="left"/>
        <w:rPr>
          <w:rFonts w:eastAsia="仿宋"/>
          <w:kern w:val="0"/>
          <w:sz w:val="28"/>
          <w:szCs w:val="28"/>
        </w:rPr>
      </w:pPr>
      <w:r>
        <w:rPr>
          <w:rFonts w:hint="eastAsia" w:hAnsi="仿宋" w:eastAsia="仿宋"/>
          <w:b/>
          <w:sz w:val="28"/>
          <w:szCs w:val="28"/>
          <w:highlight w:val="none"/>
          <w:lang w:val="en-US" w:eastAsia="zh-CN"/>
        </w:rPr>
        <w:t>三、</w:t>
      </w:r>
      <w:r>
        <w:rPr>
          <w:rFonts w:hAnsi="仿宋" w:eastAsia="仿宋"/>
          <w:b/>
          <w:sz w:val="28"/>
          <w:szCs w:val="28"/>
          <w:highlight w:val="none"/>
        </w:rPr>
        <w:t>关联交易定价政策</w:t>
      </w:r>
    </w:p>
    <w:p>
      <w:pPr>
        <w:numPr>
          <w:ilvl w:val="0"/>
          <w:numId w:val="0"/>
        </w:numPr>
        <w:tabs>
          <w:tab w:val="left" w:pos="8280"/>
        </w:tabs>
        <w:autoSpaceDE w:val="0"/>
        <w:autoSpaceDN w:val="0"/>
        <w:adjustRightInd w:val="0"/>
        <w:ind w:firstLine="560" w:firstLineChars="200"/>
        <w:jc w:val="left"/>
        <w:rPr>
          <w:rFonts w:eastAsia="仿宋"/>
          <w:kern w:val="0"/>
          <w:sz w:val="28"/>
          <w:szCs w:val="28"/>
        </w:rPr>
      </w:pPr>
      <w:r>
        <w:rPr>
          <w:rFonts w:hAnsi="仿宋" w:eastAsia="仿宋"/>
          <w:kern w:val="0"/>
          <w:sz w:val="28"/>
          <w:szCs w:val="28"/>
        </w:rPr>
        <w:t>公司与财务公司办理存贷款业务时，双方均遵循平等自愿</w:t>
      </w:r>
      <w:r>
        <w:rPr>
          <w:rFonts w:hint="eastAsia" w:hAnsi="仿宋" w:eastAsia="仿宋"/>
          <w:kern w:val="0"/>
          <w:sz w:val="28"/>
          <w:szCs w:val="28"/>
        </w:rPr>
        <w:t>、</w:t>
      </w:r>
      <w:r>
        <w:rPr>
          <w:rFonts w:hAnsi="仿宋" w:eastAsia="仿宋"/>
          <w:kern w:val="0"/>
          <w:sz w:val="28"/>
          <w:szCs w:val="28"/>
        </w:rPr>
        <w:t>优势互补</w:t>
      </w:r>
      <w:r>
        <w:rPr>
          <w:rFonts w:hint="eastAsia" w:hAnsi="仿宋" w:eastAsia="仿宋"/>
          <w:kern w:val="0"/>
          <w:sz w:val="28"/>
          <w:szCs w:val="28"/>
        </w:rPr>
        <w:t>、</w:t>
      </w:r>
      <w:r>
        <w:rPr>
          <w:rFonts w:hAnsi="仿宋" w:eastAsia="仿宋"/>
          <w:kern w:val="0"/>
          <w:sz w:val="28"/>
          <w:szCs w:val="28"/>
        </w:rPr>
        <w:t>互利互惠、合作共赢的原则。有国家价格，按照国家价格标准执行；无国家价格，则按市场公允价格来确定；如无以上两种标准，则双方协议定价。存款利率不低于中国人民银行统一颁布的同期同类存款利率标准；贷款利率</w:t>
      </w:r>
      <w:r>
        <w:rPr>
          <w:rFonts w:hint="eastAsia" w:hAnsi="仿宋" w:eastAsia="仿宋"/>
          <w:kern w:val="0"/>
          <w:sz w:val="28"/>
          <w:szCs w:val="28"/>
        </w:rPr>
        <w:t>在满足中国人民银行有关贷款利率相关规定的基础上不高于</w:t>
      </w:r>
      <w:r>
        <w:rPr>
          <w:rFonts w:hint="eastAsia" w:hAnsi="仿宋" w:eastAsia="仿宋"/>
          <w:kern w:val="0"/>
          <w:sz w:val="28"/>
          <w:szCs w:val="28"/>
          <w:lang w:val="en-US" w:eastAsia="zh-CN"/>
        </w:rPr>
        <w:t>公司</w:t>
      </w:r>
      <w:r>
        <w:rPr>
          <w:rFonts w:hint="eastAsia" w:hAnsi="仿宋" w:eastAsia="仿宋"/>
          <w:kern w:val="0"/>
          <w:sz w:val="28"/>
          <w:szCs w:val="28"/>
        </w:rPr>
        <w:t>在其它国内主要金融机构取得的同类同期同档次信贷利率及费率最高水平</w:t>
      </w:r>
      <w:r>
        <w:rPr>
          <w:rFonts w:hAnsi="仿宋" w:eastAsia="仿宋"/>
          <w:kern w:val="0"/>
          <w:sz w:val="28"/>
          <w:szCs w:val="28"/>
        </w:rPr>
        <w:t>。</w:t>
      </w:r>
    </w:p>
    <w:p>
      <w:pPr>
        <w:numPr>
          <w:ilvl w:val="0"/>
          <w:numId w:val="0"/>
        </w:numPr>
        <w:spacing w:line="560" w:lineRule="exact"/>
        <w:ind w:left="0" w:firstLine="562" w:firstLineChars="200"/>
        <w:rPr>
          <w:rFonts w:hint="eastAsia" w:hAnsi="仿宋" w:eastAsia="仿宋"/>
          <w:b/>
          <w:sz w:val="28"/>
          <w:szCs w:val="28"/>
          <w:highlight w:val="none"/>
        </w:rPr>
      </w:pPr>
      <w:r>
        <w:rPr>
          <w:rFonts w:hint="eastAsia" w:hAnsi="仿宋" w:eastAsia="仿宋"/>
          <w:b/>
          <w:sz w:val="28"/>
          <w:szCs w:val="28"/>
          <w:highlight w:val="none"/>
          <w:lang w:val="en-US" w:eastAsia="zh-CN"/>
        </w:rPr>
        <w:t>四、关</w:t>
      </w:r>
      <w:r>
        <w:rPr>
          <w:rFonts w:hint="eastAsia" w:hAnsi="仿宋" w:eastAsia="仿宋"/>
          <w:b/>
          <w:sz w:val="28"/>
          <w:szCs w:val="28"/>
          <w:highlight w:val="none"/>
        </w:rPr>
        <w:t>联交易主要内容</w:t>
      </w:r>
    </w:p>
    <w:p>
      <w:pPr>
        <w:tabs>
          <w:tab w:val="left" w:pos="8280"/>
        </w:tabs>
        <w:autoSpaceDE w:val="0"/>
        <w:autoSpaceDN w:val="0"/>
        <w:adjustRightInd w:val="0"/>
        <w:ind w:firstLine="560" w:firstLineChars="200"/>
        <w:jc w:val="left"/>
        <w:rPr>
          <w:rFonts w:hAnsi="仿宋" w:eastAsia="仿宋"/>
          <w:sz w:val="28"/>
          <w:szCs w:val="28"/>
        </w:rPr>
      </w:pPr>
      <w:r>
        <w:rPr>
          <w:rFonts w:hAnsi="仿宋" w:eastAsia="仿宋"/>
          <w:sz w:val="28"/>
          <w:szCs w:val="28"/>
        </w:rPr>
        <w:t>财务公司为公司提供各类优质金融服务和支持。公司通过财务公司资金业务平台，办理公司系统</w:t>
      </w:r>
      <w:r>
        <w:rPr>
          <w:rFonts w:hint="eastAsia" w:hAnsi="仿宋" w:eastAsia="仿宋"/>
          <w:sz w:val="28"/>
          <w:szCs w:val="28"/>
          <w:lang w:val="en-US" w:eastAsia="zh-CN"/>
        </w:rPr>
        <w:t>内</w:t>
      </w:r>
      <w:r>
        <w:rPr>
          <w:rFonts w:hAnsi="仿宋" w:eastAsia="仿宋"/>
          <w:sz w:val="28"/>
          <w:szCs w:val="28"/>
        </w:rPr>
        <w:t>的存款、贷款、票据等结算业务和融资业务。预计</w:t>
      </w:r>
      <w:r>
        <w:rPr>
          <w:rFonts w:hint="eastAsia" w:eastAsia="仿宋"/>
          <w:sz w:val="28"/>
          <w:szCs w:val="28"/>
          <w:lang w:eastAsia="zh-CN"/>
        </w:rPr>
        <w:t>2024</w:t>
      </w:r>
      <w:r>
        <w:rPr>
          <w:rFonts w:hAnsi="仿宋" w:eastAsia="仿宋"/>
          <w:sz w:val="28"/>
          <w:szCs w:val="28"/>
        </w:rPr>
        <w:t>年度公司在财务公司结算户上的日最高存款余额不超过</w:t>
      </w:r>
      <w:r>
        <w:rPr>
          <w:rFonts w:hint="eastAsia" w:eastAsia="仿宋"/>
          <w:sz w:val="28"/>
          <w:szCs w:val="28"/>
          <w:lang w:val="en-US" w:eastAsia="zh-CN"/>
        </w:rPr>
        <w:t>5</w:t>
      </w:r>
      <w:r>
        <w:rPr>
          <w:rFonts w:eastAsia="仿宋"/>
          <w:sz w:val="28"/>
          <w:szCs w:val="28"/>
        </w:rPr>
        <w:t>0</w:t>
      </w:r>
      <w:r>
        <w:rPr>
          <w:rFonts w:hAnsi="仿宋" w:eastAsia="仿宋"/>
          <w:sz w:val="28"/>
          <w:szCs w:val="28"/>
        </w:rPr>
        <w:t>亿元人民币，贷款额度不超过</w:t>
      </w:r>
      <w:r>
        <w:rPr>
          <w:rFonts w:eastAsia="仿宋"/>
          <w:sz w:val="28"/>
          <w:szCs w:val="28"/>
        </w:rPr>
        <w:t>90</w:t>
      </w:r>
      <w:r>
        <w:rPr>
          <w:rFonts w:hAnsi="仿宋" w:eastAsia="仿宋"/>
          <w:sz w:val="28"/>
          <w:szCs w:val="28"/>
        </w:rPr>
        <w:t>亿元人民币</w:t>
      </w:r>
      <w:r>
        <w:rPr>
          <w:rFonts w:hint="eastAsia" w:hAnsi="仿宋" w:eastAsia="仿宋"/>
          <w:sz w:val="28"/>
          <w:szCs w:val="28"/>
        </w:rPr>
        <w:t>（其中</w:t>
      </w:r>
      <w:r>
        <w:rPr>
          <w:rFonts w:hAnsi="仿宋" w:eastAsia="仿宋"/>
          <w:sz w:val="28"/>
          <w:szCs w:val="28"/>
        </w:rPr>
        <w:t>委托贷款额度不超过</w:t>
      </w:r>
      <w:r>
        <w:rPr>
          <w:rFonts w:hint="eastAsia" w:eastAsia="仿宋"/>
          <w:sz w:val="28"/>
          <w:szCs w:val="28"/>
        </w:rPr>
        <w:t>5</w:t>
      </w:r>
      <w:r>
        <w:rPr>
          <w:rFonts w:eastAsia="仿宋"/>
          <w:sz w:val="28"/>
          <w:szCs w:val="28"/>
        </w:rPr>
        <w:t>0</w:t>
      </w:r>
      <w:r>
        <w:rPr>
          <w:rFonts w:hAnsi="仿宋" w:eastAsia="仿宋"/>
          <w:sz w:val="28"/>
          <w:szCs w:val="28"/>
        </w:rPr>
        <w:t>亿元人民币</w:t>
      </w:r>
      <w:r>
        <w:rPr>
          <w:rFonts w:hint="eastAsia" w:hAnsi="仿宋" w:eastAsia="仿宋"/>
          <w:sz w:val="28"/>
          <w:szCs w:val="28"/>
        </w:rPr>
        <w:t>），授信总额不超过1</w:t>
      </w:r>
      <w:r>
        <w:rPr>
          <w:rFonts w:hAnsi="仿宋" w:eastAsia="仿宋"/>
          <w:sz w:val="28"/>
          <w:szCs w:val="28"/>
        </w:rPr>
        <w:t>00</w:t>
      </w:r>
      <w:r>
        <w:rPr>
          <w:rFonts w:hint="eastAsia" w:hAnsi="仿宋" w:eastAsia="仿宋"/>
          <w:sz w:val="28"/>
          <w:szCs w:val="28"/>
        </w:rPr>
        <w:t>亿元人民币</w:t>
      </w:r>
      <w:r>
        <w:rPr>
          <w:rFonts w:hAnsi="仿宋" w:eastAsia="仿宋"/>
          <w:sz w:val="28"/>
          <w:szCs w:val="28"/>
        </w:rPr>
        <w:t>。</w:t>
      </w:r>
    </w:p>
    <w:p>
      <w:pPr>
        <w:spacing w:line="560" w:lineRule="exact"/>
        <w:ind w:firstLine="562" w:firstLineChars="200"/>
        <w:rPr>
          <w:rFonts w:eastAsia="仿宋"/>
          <w:b/>
          <w:sz w:val="28"/>
          <w:szCs w:val="28"/>
          <w:highlight w:val="none"/>
        </w:rPr>
      </w:pPr>
      <w:r>
        <w:rPr>
          <w:rFonts w:hint="eastAsia" w:hAnsi="仿宋" w:eastAsia="仿宋"/>
          <w:b/>
          <w:sz w:val="28"/>
          <w:szCs w:val="28"/>
          <w:highlight w:val="none"/>
          <w:lang w:val="en-US" w:eastAsia="zh-CN"/>
        </w:rPr>
        <w:t>五、</w:t>
      </w:r>
      <w:r>
        <w:rPr>
          <w:rFonts w:hAnsi="仿宋" w:eastAsia="仿宋"/>
          <w:b/>
          <w:sz w:val="28"/>
          <w:szCs w:val="28"/>
          <w:highlight w:val="none"/>
        </w:rPr>
        <w:t>风险评估情况</w:t>
      </w:r>
      <w:r>
        <w:rPr>
          <w:rFonts w:eastAsia="仿宋"/>
          <w:b/>
          <w:sz w:val="28"/>
          <w:szCs w:val="28"/>
          <w:highlight w:val="none"/>
        </w:rPr>
        <w:t xml:space="preserve"> </w:t>
      </w:r>
    </w:p>
    <w:p>
      <w:pPr>
        <w:spacing w:line="560" w:lineRule="exact"/>
        <w:ind w:firstLine="560" w:firstLineChars="200"/>
        <w:rPr>
          <w:rFonts w:hint="eastAsia" w:hAnsi="仿宋" w:eastAsia="仿宋"/>
          <w:sz w:val="28"/>
          <w:szCs w:val="28"/>
          <w:highlight w:val="yellow"/>
        </w:rPr>
      </w:pPr>
      <w:r>
        <w:rPr>
          <w:rFonts w:hAnsi="仿宋" w:eastAsia="仿宋"/>
          <w:sz w:val="28"/>
          <w:szCs w:val="28"/>
          <w:highlight w:val="none"/>
        </w:rPr>
        <w:t>为尽可能降低本次关联交易的风险，公司委托</w:t>
      </w:r>
      <w:r>
        <w:rPr>
          <w:rFonts w:hint="eastAsia" w:hAnsi="仿宋" w:eastAsia="仿宋"/>
          <w:sz w:val="28"/>
          <w:szCs w:val="28"/>
          <w:highlight w:val="none"/>
        </w:rPr>
        <w:t>立</w:t>
      </w:r>
      <w:r>
        <w:rPr>
          <w:rFonts w:hAnsi="仿宋" w:eastAsia="仿宋"/>
          <w:sz w:val="28"/>
          <w:szCs w:val="28"/>
          <w:highlight w:val="none"/>
        </w:rPr>
        <w:t>信会计师事务所（特殊普通合伙）对财务公司的风险进行了评估，并出具了《</w:t>
      </w:r>
      <w:r>
        <w:rPr>
          <w:rFonts w:hint="eastAsia" w:hAnsi="仿宋" w:eastAsia="仿宋"/>
          <w:sz w:val="28"/>
          <w:szCs w:val="28"/>
          <w:highlight w:val="none"/>
        </w:rPr>
        <w:t>关于国家电投集团财务有限公司</w:t>
      </w:r>
      <w:r>
        <w:rPr>
          <w:rFonts w:hint="eastAsia" w:hAnsi="仿宋" w:eastAsia="仿宋"/>
          <w:sz w:val="28"/>
          <w:szCs w:val="28"/>
          <w:highlight w:val="none"/>
          <w:lang w:eastAsia="zh-CN"/>
        </w:rPr>
        <w:t>2023</w:t>
      </w:r>
      <w:r>
        <w:rPr>
          <w:rFonts w:hint="eastAsia" w:hAnsi="仿宋" w:eastAsia="仿宋"/>
          <w:sz w:val="28"/>
          <w:szCs w:val="28"/>
          <w:highlight w:val="none"/>
        </w:rPr>
        <w:t>年12月31日风险评估专项审核报告</w:t>
      </w:r>
      <w:r>
        <w:rPr>
          <w:rFonts w:hint="eastAsia" w:hAnsi="仿宋" w:eastAsia="仿宋" w:cs="仿宋"/>
          <w:sz w:val="28"/>
          <w:szCs w:val="28"/>
          <w:highlight w:val="none"/>
        </w:rPr>
        <w:t>》（信会师报字</w:t>
      </w:r>
      <w:r>
        <w:rPr>
          <w:rFonts w:hAnsi="仿宋" w:eastAsia="仿宋"/>
          <w:sz w:val="28"/>
          <w:szCs w:val="28"/>
          <w:highlight w:val="none"/>
        </w:rPr>
        <w:t>[</w:t>
      </w:r>
      <w:r>
        <w:rPr>
          <w:rFonts w:hint="eastAsia" w:hAnsi="仿宋" w:eastAsia="仿宋"/>
          <w:sz w:val="28"/>
          <w:szCs w:val="28"/>
          <w:highlight w:val="none"/>
          <w:lang w:eastAsia="zh-CN"/>
        </w:rPr>
        <w:t>2024</w:t>
      </w:r>
      <w:r>
        <w:rPr>
          <w:rFonts w:hAnsi="仿宋" w:eastAsia="仿宋"/>
          <w:sz w:val="28"/>
          <w:szCs w:val="28"/>
          <w:highlight w:val="none"/>
        </w:rPr>
        <w:t>]</w:t>
      </w:r>
      <w:r>
        <w:rPr>
          <w:rFonts w:hint="eastAsia" w:hAnsi="仿宋" w:eastAsia="仿宋" w:cs="仿宋"/>
          <w:sz w:val="28"/>
          <w:szCs w:val="28"/>
          <w:highlight w:val="none"/>
        </w:rPr>
        <w:t>第</w:t>
      </w:r>
      <w:bookmarkStart w:id="0" w:name="OLE_LINK1"/>
      <w:r>
        <w:rPr>
          <w:rFonts w:hint="eastAsia" w:hAnsi="仿宋" w:eastAsia="仿宋" w:cs="仿宋"/>
          <w:sz w:val="28"/>
          <w:szCs w:val="28"/>
          <w:highlight w:val="none"/>
        </w:rPr>
        <w:t>ZG</w:t>
      </w:r>
      <w:bookmarkEnd w:id="0"/>
      <w:r>
        <w:rPr>
          <w:rFonts w:hint="eastAsia" w:hAnsi="仿宋" w:eastAsia="仿宋" w:cs="仿宋"/>
          <w:sz w:val="28"/>
          <w:szCs w:val="28"/>
          <w:highlight w:val="none"/>
        </w:rPr>
        <w:t>26464号）</w:t>
      </w:r>
      <w:r>
        <w:rPr>
          <w:rFonts w:hAnsi="仿宋" w:eastAsia="仿宋"/>
          <w:sz w:val="28"/>
          <w:szCs w:val="28"/>
          <w:highlight w:val="none"/>
        </w:rPr>
        <w:t>，</w:t>
      </w:r>
      <w:r>
        <w:rPr>
          <w:rFonts w:hint="eastAsia" w:hAnsi="仿宋" w:eastAsia="仿宋"/>
          <w:sz w:val="28"/>
          <w:szCs w:val="28"/>
          <w:highlight w:val="none"/>
        </w:rPr>
        <w:t>认为“根据对风险管理的了解和评价，</w:t>
      </w:r>
      <w:r>
        <w:rPr>
          <w:rFonts w:hint="eastAsia" w:hAnsi="仿宋" w:eastAsia="仿宋"/>
          <w:sz w:val="28"/>
          <w:szCs w:val="28"/>
          <w:highlight w:val="none"/>
          <w:lang w:val="en-US" w:eastAsia="zh-CN"/>
        </w:rPr>
        <w:t>我们</w:t>
      </w:r>
      <w:r>
        <w:rPr>
          <w:rFonts w:hint="eastAsia" w:hAnsi="仿宋" w:eastAsia="仿宋"/>
          <w:sz w:val="28"/>
          <w:szCs w:val="28"/>
          <w:highlight w:val="none"/>
        </w:rPr>
        <w:t>未发现</w:t>
      </w:r>
      <w:r>
        <w:rPr>
          <w:rFonts w:hint="eastAsia" w:hAnsi="仿宋" w:eastAsia="仿宋"/>
          <w:sz w:val="28"/>
          <w:szCs w:val="28"/>
          <w:highlight w:val="none"/>
          <w:lang w:val="en-US" w:eastAsia="zh-CN"/>
        </w:rPr>
        <w:t>财务公司</w:t>
      </w:r>
      <w:r>
        <w:rPr>
          <w:rFonts w:hint="eastAsia" w:hAnsi="仿宋" w:eastAsia="仿宋"/>
          <w:sz w:val="28"/>
          <w:szCs w:val="28"/>
          <w:highlight w:val="none"/>
        </w:rPr>
        <w:t>截至</w:t>
      </w:r>
      <w:r>
        <w:rPr>
          <w:rFonts w:hint="eastAsia" w:hAnsi="仿宋" w:eastAsia="仿宋"/>
          <w:sz w:val="28"/>
          <w:szCs w:val="28"/>
          <w:highlight w:val="none"/>
          <w:lang w:eastAsia="zh-CN"/>
        </w:rPr>
        <w:t>2023</w:t>
      </w:r>
      <w:r>
        <w:rPr>
          <w:rFonts w:hint="eastAsia" w:hAnsi="仿宋" w:eastAsia="仿宋"/>
          <w:sz w:val="28"/>
          <w:szCs w:val="28"/>
          <w:highlight w:val="none"/>
        </w:rPr>
        <w:t>年12月31日与财务报表编制有关的风险管理存在重大缺陷。”</w:t>
      </w:r>
    </w:p>
    <w:p>
      <w:pPr>
        <w:spacing w:line="560" w:lineRule="exact"/>
        <w:ind w:firstLine="562" w:firstLineChars="200"/>
        <w:rPr>
          <w:rFonts w:eastAsia="仿宋"/>
          <w:b/>
          <w:sz w:val="28"/>
          <w:szCs w:val="28"/>
          <w:highlight w:val="none"/>
        </w:rPr>
      </w:pPr>
      <w:r>
        <w:rPr>
          <w:rFonts w:hint="eastAsia" w:hAnsi="仿宋" w:eastAsia="仿宋"/>
          <w:b/>
          <w:sz w:val="28"/>
          <w:szCs w:val="28"/>
          <w:highlight w:val="none"/>
          <w:lang w:val="en-US" w:eastAsia="zh-CN"/>
        </w:rPr>
        <w:t>六、</w:t>
      </w:r>
      <w:r>
        <w:rPr>
          <w:rFonts w:hAnsi="仿宋" w:eastAsia="仿宋"/>
          <w:b/>
          <w:sz w:val="28"/>
          <w:szCs w:val="28"/>
          <w:highlight w:val="none"/>
        </w:rPr>
        <w:t>上市公司保证资金安全和灵活调度的措施</w:t>
      </w:r>
      <w:r>
        <w:rPr>
          <w:rFonts w:eastAsia="仿宋"/>
          <w:b/>
          <w:sz w:val="28"/>
          <w:szCs w:val="28"/>
          <w:highlight w:val="none"/>
        </w:rPr>
        <w:t xml:space="preserve"> </w:t>
      </w:r>
    </w:p>
    <w:p>
      <w:pPr>
        <w:spacing w:line="560" w:lineRule="exact"/>
        <w:ind w:firstLine="560" w:firstLineChars="200"/>
        <w:rPr>
          <w:rFonts w:hint="eastAsia" w:eastAsia="仿宋"/>
          <w:sz w:val="28"/>
          <w:szCs w:val="28"/>
          <w:highlight w:val="none"/>
        </w:rPr>
      </w:pPr>
      <w:r>
        <w:rPr>
          <w:rFonts w:hint="eastAsia" w:eastAsia="仿宋"/>
          <w:sz w:val="28"/>
          <w:szCs w:val="28"/>
          <w:highlight w:val="none"/>
        </w:rPr>
        <w:t>为保证公司及下属</w:t>
      </w:r>
      <w:r>
        <w:rPr>
          <w:rFonts w:hint="eastAsia" w:eastAsia="仿宋"/>
          <w:sz w:val="28"/>
          <w:szCs w:val="28"/>
          <w:highlight w:val="none"/>
          <w:lang w:val="en-US" w:eastAsia="zh-CN"/>
        </w:rPr>
        <w:t>子分</w:t>
      </w:r>
      <w:r>
        <w:rPr>
          <w:rFonts w:hint="eastAsia" w:eastAsia="仿宋"/>
          <w:sz w:val="28"/>
          <w:szCs w:val="28"/>
          <w:highlight w:val="none"/>
        </w:rPr>
        <w:t>公司在财务公司存款的资金安全和灵活调度，公司制定了《公司与国家电投集团财务有限公司关联交易的风险处置预案》。如出现风险情况，立即启动风险处置程序</w:t>
      </w:r>
      <w:r>
        <w:rPr>
          <w:rFonts w:hint="eastAsia" w:eastAsia="仿宋"/>
          <w:sz w:val="28"/>
          <w:szCs w:val="28"/>
          <w:highlight w:val="none"/>
          <w:lang w:eastAsia="zh-CN"/>
        </w:rPr>
        <w:t>，</w:t>
      </w:r>
      <w:r>
        <w:rPr>
          <w:rFonts w:hint="eastAsia" w:eastAsia="仿宋"/>
          <w:sz w:val="28"/>
          <w:szCs w:val="28"/>
          <w:highlight w:val="none"/>
          <w:lang w:val="en-US" w:eastAsia="zh-CN"/>
        </w:rPr>
        <w:t>确保资金安全</w:t>
      </w:r>
      <w:r>
        <w:rPr>
          <w:rFonts w:hint="eastAsia" w:eastAsia="仿宋"/>
          <w:sz w:val="28"/>
          <w:szCs w:val="28"/>
          <w:highlight w:val="none"/>
        </w:rPr>
        <w:t>。</w:t>
      </w:r>
    </w:p>
    <w:p>
      <w:pPr>
        <w:spacing w:line="560" w:lineRule="exact"/>
        <w:ind w:firstLine="560" w:firstLineChars="200"/>
        <w:rPr>
          <w:rFonts w:eastAsia="仿宋"/>
          <w:sz w:val="28"/>
          <w:szCs w:val="28"/>
          <w:highlight w:val="none"/>
        </w:rPr>
      </w:pPr>
      <w:r>
        <w:rPr>
          <w:rFonts w:hint="eastAsia" w:eastAsia="仿宋"/>
          <w:sz w:val="28"/>
          <w:szCs w:val="28"/>
          <w:highlight w:val="none"/>
        </w:rPr>
        <w:t>此外，公司将在存款业务期间，密切关注财务公司运营状况，除及时掌握其各项主要财务指标外，将通过不定期办理不同额度的存取款业务，以验证相关存款的安全性和流动性。</w:t>
      </w:r>
    </w:p>
    <w:p>
      <w:pPr>
        <w:numPr>
          <w:ilvl w:val="0"/>
          <w:numId w:val="1"/>
        </w:numPr>
        <w:spacing w:line="560" w:lineRule="exact"/>
        <w:ind w:firstLine="562" w:firstLineChars="200"/>
        <w:rPr>
          <w:rFonts w:eastAsia="仿宋"/>
          <w:b/>
          <w:sz w:val="28"/>
          <w:szCs w:val="28"/>
          <w:highlight w:val="none"/>
        </w:rPr>
      </w:pPr>
      <w:r>
        <w:rPr>
          <w:rFonts w:hAnsi="仿宋" w:eastAsia="仿宋"/>
          <w:b/>
          <w:sz w:val="28"/>
          <w:szCs w:val="28"/>
          <w:highlight w:val="none"/>
        </w:rPr>
        <w:t>交易目的和对上市公司的影响</w:t>
      </w:r>
    </w:p>
    <w:p>
      <w:pPr>
        <w:spacing w:line="560" w:lineRule="exact"/>
        <w:ind w:firstLine="560" w:firstLineChars="200"/>
        <w:rPr>
          <w:rFonts w:hint="eastAsia" w:hAnsi="仿宋" w:eastAsia="仿宋"/>
          <w:sz w:val="28"/>
          <w:szCs w:val="28"/>
          <w:highlight w:val="none"/>
        </w:rPr>
      </w:pPr>
      <w:r>
        <w:rPr>
          <w:rFonts w:hint="eastAsia" w:hAnsi="仿宋" w:eastAsia="仿宋"/>
          <w:sz w:val="28"/>
          <w:szCs w:val="28"/>
          <w:highlight w:val="none"/>
        </w:rPr>
        <w:t>该关联交易是为了满足公司正常生产经营需要。财务公司提供相关金融服务和资金管理平台，</w:t>
      </w:r>
      <w:r>
        <w:rPr>
          <w:rFonts w:hint="eastAsia" w:hAnsi="仿宋" w:eastAsia="仿宋"/>
          <w:sz w:val="28"/>
          <w:szCs w:val="28"/>
          <w:highlight w:val="none"/>
          <w:lang w:val="en-US" w:eastAsia="zh-CN"/>
        </w:rPr>
        <w:t>可</w:t>
      </w:r>
      <w:r>
        <w:rPr>
          <w:rFonts w:hint="eastAsia" w:hAnsi="仿宋" w:eastAsia="仿宋"/>
          <w:sz w:val="28"/>
          <w:szCs w:val="28"/>
          <w:highlight w:val="none"/>
        </w:rPr>
        <w:t>提高公司资金的管理水平及使用效率，拓宽融资渠道。本次交易</w:t>
      </w:r>
      <w:r>
        <w:rPr>
          <w:rFonts w:hint="eastAsia" w:hAnsi="仿宋" w:eastAsia="仿宋"/>
          <w:sz w:val="28"/>
          <w:szCs w:val="28"/>
          <w:highlight w:val="none"/>
          <w:lang w:val="en-US" w:eastAsia="zh-CN"/>
        </w:rPr>
        <w:t>参照</w:t>
      </w:r>
      <w:r>
        <w:rPr>
          <w:rFonts w:hint="eastAsia" w:hAnsi="仿宋" w:eastAsia="仿宋"/>
          <w:sz w:val="28"/>
          <w:szCs w:val="28"/>
          <w:highlight w:val="none"/>
        </w:rPr>
        <w:t>市场价格并经双方协商确定，客观公允，不存在损害公司及其他股东行为，也不会对本公司持续经营能力产生重大影响。</w:t>
      </w:r>
    </w:p>
    <w:p>
      <w:pPr>
        <w:spacing w:line="560" w:lineRule="exact"/>
        <w:ind w:firstLine="560" w:firstLineChars="200"/>
        <w:rPr>
          <w:rFonts w:eastAsia="仿宋"/>
          <w:sz w:val="28"/>
          <w:szCs w:val="28"/>
          <w:highlight w:val="none"/>
        </w:rPr>
      </w:pPr>
      <w:r>
        <w:rPr>
          <w:rFonts w:hAnsi="仿宋" w:eastAsia="仿宋"/>
          <w:sz w:val="28"/>
          <w:szCs w:val="28"/>
          <w:highlight w:val="none"/>
        </w:rPr>
        <w:t>上述关联交易不影响公司的独立性。</w:t>
      </w:r>
    </w:p>
    <w:p>
      <w:pPr>
        <w:spacing w:line="560" w:lineRule="exact"/>
        <w:ind w:firstLine="562" w:firstLineChars="200"/>
        <w:rPr>
          <w:rFonts w:eastAsia="仿宋"/>
          <w:b/>
          <w:sz w:val="28"/>
          <w:szCs w:val="28"/>
          <w:highlight w:val="none"/>
        </w:rPr>
      </w:pPr>
      <w:r>
        <w:rPr>
          <w:rFonts w:hint="eastAsia" w:hAnsi="仿宋" w:eastAsia="仿宋"/>
          <w:b/>
          <w:sz w:val="28"/>
          <w:szCs w:val="28"/>
          <w:highlight w:val="none"/>
          <w:lang w:val="en-US" w:eastAsia="zh-CN"/>
        </w:rPr>
        <w:t>八</w:t>
      </w:r>
      <w:r>
        <w:rPr>
          <w:rFonts w:hAnsi="仿宋" w:eastAsia="仿宋"/>
          <w:b/>
          <w:sz w:val="28"/>
          <w:szCs w:val="28"/>
          <w:highlight w:val="none"/>
        </w:rPr>
        <w:t>、</w:t>
      </w:r>
      <w:r>
        <w:rPr>
          <w:rFonts w:hint="eastAsia" w:eastAsia="仿宋"/>
          <w:b/>
          <w:color w:val="auto"/>
          <w:sz w:val="28"/>
          <w:szCs w:val="28"/>
          <w:highlight w:val="none"/>
          <w:lang w:eastAsia="zh-CN"/>
        </w:rPr>
        <w:t>2023</w:t>
      </w:r>
      <w:r>
        <w:rPr>
          <w:rFonts w:hAnsi="仿宋" w:eastAsia="仿宋"/>
          <w:b/>
          <w:color w:val="auto"/>
          <w:sz w:val="28"/>
          <w:szCs w:val="28"/>
          <w:highlight w:val="none"/>
        </w:rPr>
        <w:t>年与该</w:t>
      </w:r>
      <w:r>
        <w:rPr>
          <w:rFonts w:hAnsi="仿宋" w:eastAsia="仿宋"/>
          <w:b/>
          <w:sz w:val="28"/>
          <w:szCs w:val="28"/>
          <w:highlight w:val="none"/>
        </w:rPr>
        <w:t>关联人累计发生的各类关联交易的总金额</w:t>
      </w:r>
      <w:r>
        <w:rPr>
          <w:rFonts w:eastAsia="仿宋"/>
          <w:b/>
          <w:sz w:val="28"/>
          <w:szCs w:val="28"/>
          <w:highlight w:val="none"/>
        </w:rPr>
        <w:t xml:space="preserve"> </w:t>
      </w:r>
    </w:p>
    <w:p>
      <w:pPr>
        <w:spacing w:line="560" w:lineRule="exact"/>
        <w:ind w:firstLine="560" w:firstLineChars="200"/>
        <w:rPr>
          <w:rFonts w:hint="eastAsia" w:hAnsi="仿宋" w:eastAsia="仿宋"/>
          <w:color w:val="333333"/>
          <w:sz w:val="28"/>
          <w:szCs w:val="28"/>
          <w:highlight w:val="none"/>
          <w:lang w:val="en-US" w:eastAsia="zh-CN"/>
        </w:rPr>
      </w:pPr>
      <w:r>
        <w:rPr>
          <w:rFonts w:hAnsi="仿宋" w:eastAsia="仿宋"/>
          <w:sz w:val="28"/>
          <w:szCs w:val="28"/>
          <w:highlight w:val="none"/>
        </w:rPr>
        <w:t>截</w:t>
      </w:r>
      <w:r>
        <w:rPr>
          <w:rFonts w:hint="eastAsia" w:hAnsi="仿宋" w:eastAsia="仿宋"/>
          <w:sz w:val="28"/>
          <w:szCs w:val="28"/>
          <w:highlight w:val="none"/>
          <w:lang w:val="en-US" w:eastAsia="zh-CN"/>
        </w:rPr>
        <w:t>至</w:t>
      </w:r>
      <w:r>
        <w:rPr>
          <w:rFonts w:hint="eastAsia" w:eastAsia="仿宋"/>
          <w:sz w:val="28"/>
          <w:szCs w:val="28"/>
          <w:highlight w:val="none"/>
          <w:lang w:eastAsia="zh-CN"/>
        </w:rPr>
        <w:t>2023</w:t>
      </w:r>
      <w:r>
        <w:rPr>
          <w:rFonts w:hAnsi="仿宋" w:eastAsia="仿宋"/>
          <w:sz w:val="28"/>
          <w:szCs w:val="28"/>
          <w:highlight w:val="none"/>
        </w:rPr>
        <w:t>年</w:t>
      </w:r>
      <w:r>
        <w:rPr>
          <w:rFonts w:eastAsia="仿宋"/>
          <w:sz w:val="28"/>
          <w:szCs w:val="28"/>
          <w:highlight w:val="none"/>
        </w:rPr>
        <w:t>12</w:t>
      </w:r>
      <w:r>
        <w:rPr>
          <w:rFonts w:hAnsi="仿宋" w:eastAsia="仿宋"/>
          <w:sz w:val="28"/>
          <w:szCs w:val="28"/>
          <w:highlight w:val="none"/>
        </w:rPr>
        <w:t>月</w:t>
      </w:r>
      <w:r>
        <w:rPr>
          <w:rFonts w:eastAsia="仿宋"/>
          <w:sz w:val="28"/>
          <w:szCs w:val="28"/>
          <w:highlight w:val="none"/>
        </w:rPr>
        <w:t>31</w:t>
      </w:r>
      <w:r>
        <w:rPr>
          <w:rFonts w:hAnsi="仿宋" w:eastAsia="仿宋"/>
          <w:sz w:val="28"/>
          <w:szCs w:val="28"/>
          <w:highlight w:val="none"/>
        </w:rPr>
        <w:t>日，公司</w:t>
      </w:r>
      <w:r>
        <w:rPr>
          <w:rFonts w:hint="eastAsia" w:hAnsi="仿宋" w:eastAsia="仿宋"/>
          <w:sz w:val="28"/>
          <w:szCs w:val="28"/>
          <w:highlight w:val="none"/>
          <w:lang w:val="en-US" w:eastAsia="zh-CN"/>
        </w:rPr>
        <w:t>及所管单位</w:t>
      </w:r>
      <w:r>
        <w:rPr>
          <w:rFonts w:hAnsi="仿宋" w:eastAsia="仿宋"/>
          <w:sz w:val="28"/>
          <w:szCs w:val="28"/>
          <w:highlight w:val="none"/>
        </w:rPr>
        <w:t>在财务公司结算户上存款余额为</w:t>
      </w:r>
      <w:r>
        <w:rPr>
          <w:rFonts w:hint="eastAsia" w:hAnsi="仿宋" w:eastAsia="仿宋"/>
          <w:sz w:val="28"/>
          <w:szCs w:val="28"/>
          <w:highlight w:val="none"/>
          <w:lang w:val="en-US" w:eastAsia="zh-CN"/>
        </w:rPr>
        <w:t>9.3</w:t>
      </w:r>
      <w:r>
        <w:rPr>
          <w:rFonts w:hint="eastAsia" w:eastAsia="仿宋"/>
          <w:sz w:val="28"/>
          <w:szCs w:val="28"/>
          <w:highlight w:val="none"/>
        </w:rPr>
        <w:t>亿</w:t>
      </w:r>
      <w:r>
        <w:rPr>
          <w:rFonts w:hAnsi="仿宋" w:eastAsia="仿宋"/>
          <w:sz w:val="28"/>
          <w:szCs w:val="28"/>
          <w:highlight w:val="none"/>
        </w:rPr>
        <w:t>元，</w:t>
      </w:r>
      <w:r>
        <w:rPr>
          <w:rFonts w:hint="eastAsia" w:hAnsi="仿宋" w:eastAsia="仿宋"/>
          <w:sz w:val="28"/>
          <w:szCs w:val="28"/>
          <w:highlight w:val="none"/>
        </w:rPr>
        <w:t>短期贷款余额为</w:t>
      </w:r>
      <w:r>
        <w:rPr>
          <w:rFonts w:hint="eastAsia" w:hAnsi="仿宋" w:eastAsia="仿宋"/>
          <w:sz w:val="28"/>
          <w:szCs w:val="28"/>
          <w:highlight w:val="none"/>
          <w:lang w:val="en-US" w:eastAsia="zh-CN"/>
        </w:rPr>
        <w:t>11.9</w:t>
      </w:r>
      <w:r>
        <w:rPr>
          <w:rFonts w:hint="eastAsia" w:hAnsi="仿宋" w:eastAsia="仿宋"/>
          <w:sz w:val="28"/>
          <w:szCs w:val="28"/>
          <w:highlight w:val="none"/>
        </w:rPr>
        <w:t>亿元，</w:t>
      </w:r>
      <w:r>
        <w:rPr>
          <w:rFonts w:hAnsi="仿宋" w:eastAsia="仿宋"/>
          <w:sz w:val="28"/>
          <w:szCs w:val="28"/>
          <w:highlight w:val="none"/>
        </w:rPr>
        <w:t>中长期贷款余额为</w:t>
      </w:r>
      <w:r>
        <w:rPr>
          <w:rFonts w:hint="eastAsia" w:eastAsia="仿宋"/>
          <w:sz w:val="28"/>
          <w:szCs w:val="28"/>
          <w:highlight w:val="none"/>
          <w:lang w:val="en-US" w:eastAsia="zh-CN"/>
        </w:rPr>
        <w:t>21.65</w:t>
      </w:r>
      <w:r>
        <w:rPr>
          <w:rFonts w:hint="eastAsia" w:eastAsia="仿宋"/>
          <w:sz w:val="28"/>
          <w:szCs w:val="28"/>
          <w:highlight w:val="none"/>
        </w:rPr>
        <w:t>亿元，</w:t>
      </w:r>
      <w:r>
        <w:rPr>
          <w:rFonts w:hAnsi="仿宋" w:eastAsia="仿宋"/>
          <w:sz w:val="28"/>
          <w:szCs w:val="28"/>
          <w:highlight w:val="none"/>
        </w:rPr>
        <w:t>委托贷款</w:t>
      </w:r>
      <w:r>
        <w:rPr>
          <w:rFonts w:hint="eastAsia" w:hAnsi="仿宋" w:eastAsia="仿宋"/>
          <w:sz w:val="28"/>
          <w:szCs w:val="28"/>
        </w:rPr>
        <w:t>余额为</w:t>
      </w:r>
      <w:r>
        <w:rPr>
          <w:rFonts w:hint="eastAsia" w:eastAsia="仿宋"/>
          <w:sz w:val="28"/>
          <w:szCs w:val="28"/>
          <w:highlight w:val="none"/>
          <w:lang w:val="en-US" w:eastAsia="zh-CN"/>
        </w:rPr>
        <w:t>22.25</w:t>
      </w:r>
      <w:r>
        <w:rPr>
          <w:rFonts w:hint="eastAsia" w:hAnsi="仿宋" w:eastAsia="仿宋"/>
          <w:sz w:val="28"/>
          <w:szCs w:val="28"/>
          <w:highlight w:val="none"/>
        </w:rPr>
        <w:t>亿元</w:t>
      </w:r>
      <w:r>
        <w:rPr>
          <w:rFonts w:hint="eastAsia" w:hAnsi="仿宋" w:eastAsia="仿宋"/>
          <w:sz w:val="28"/>
          <w:szCs w:val="28"/>
          <w:highlight w:val="none"/>
          <w:lang w:eastAsia="zh-CN"/>
        </w:rPr>
        <w:t>。</w:t>
      </w:r>
    </w:p>
    <w:p>
      <w:pPr>
        <w:spacing w:line="560" w:lineRule="exact"/>
        <w:ind w:firstLine="562" w:firstLineChars="200"/>
        <w:rPr>
          <w:rFonts w:hint="eastAsia" w:hAnsi="仿宋" w:eastAsia="仿宋"/>
          <w:b/>
          <w:bCs/>
          <w:kern w:val="0"/>
          <w:sz w:val="28"/>
          <w:szCs w:val="28"/>
          <w:highlight w:val="none"/>
        </w:rPr>
      </w:pPr>
      <w:r>
        <w:rPr>
          <w:rFonts w:hint="eastAsia" w:hAnsi="仿宋" w:eastAsia="仿宋"/>
          <w:b/>
          <w:bCs/>
          <w:kern w:val="0"/>
          <w:sz w:val="28"/>
          <w:szCs w:val="28"/>
          <w:highlight w:val="none"/>
          <w:lang w:val="en-US" w:eastAsia="zh-CN"/>
        </w:rPr>
        <w:t>九</w:t>
      </w:r>
      <w:r>
        <w:rPr>
          <w:rFonts w:hint="eastAsia" w:hAnsi="仿宋" w:eastAsia="仿宋"/>
          <w:b/>
          <w:bCs/>
          <w:kern w:val="0"/>
          <w:sz w:val="28"/>
          <w:szCs w:val="28"/>
          <w:highlight w:val="none"/>
        </w:rPr>
        <w:t>、独立董事专门会议审查意见</w:t>
      </w:r>
    </w:p>
    <w:p>
      <w:pPr>
        <w:spacing w:line="560" w:lineRule="exact"/>
        <w:ind w:firstLine="560" w:firstLineChars="200"/>
        <w:rPr>
          <w:rFonts w:eastAsia="仿宋"/>
          <w:kern w:val="0"/>
          <w:sz w:val="28"/>
          <w:szCs w:val="28"/>
          <w:highlight w:val="none"/>
        </w:rPr>
      </w:pPr>
      <w:r>
        <w:rPr>
          <w:rFonts w:hint="eastAsia" w:hAnsi="仿宋" w:eastAsia="仿宋"/>
          <w:kern w:val="0"/>
          <w:sz w:val="28"/>
          <w:szCs w:val="28"/>
          <w:highlight w:val="none"/>
        </w:rPr>
        <w:t>本次关联交易已经公司202</w:t>
      </w:r>
      <w:r>
        <w:rPr>
          <w:rFonts w:hint="eastAsia" w:hAnsi="仿宋" w:eastAsia="仿宋"/>
          <w:kern w:val="0"/>
          <w:sz w:val="28"/>
          <w:szCs w:val="28"/>
          <w:highlight w:val="none"/>
          <w:lang w:val="en-US" w:eastAsia="zh-CN"/>
        </w:rPr>
        <w:t>4</w:t>
      </w:r>
      <w:r>
        <w:rPr>
          <w:rFonts w:hint="eastAsia" w:hAnsi="仿宋" w:eastAsia="仿宋"/>
          <w:kern w:val="0"/>
          <w:sz w:val="28"/>
          <w:szCs w:val="28"/>
          <w:highlight w:val="none"/>
        </w:rPr>
        <w:t>年第</w:t>
      </w:r>
      <w:r>
        <w:rPr>
          <w:rFonts w:hint="eastAsia" w:hAnsi="仿宋" w:eastAsia="仿宋"/>
          <w:kern w:val="0"/>
          <w:sz w:val="28"/>
          <w:szCs w:val="28"/>
          <w:highlight w:val="none"/>
          <w:lang w:val="en-US" w:eastAsia="zh-CN"/>
        </w:rPr>
        <w:t>二</w:t>
      </w:r>
      <w:r>
        <w:rPr>
          <w:rFonts w:hint="eastAsia" w:hAnsi="仿宋" w:eastAsia="仿宋"/>
          <w:kern w:val="0"/>
          <w:sz w:val="28"/>
          <w:szCs w:val="28"/>
          <w:highlight w:val="none"/>
        </w:rPr>
        <w:t>次独立董事专门会议审议并发表审查意见：</w:t>
      </w:r>
    </w:p>
    <w:p>
      <w:pPr>
        <w:numPr>
          <w:ilvl w:val="0"/>
          <w:numId w:val="0"/>
        </w:numPr>
        <w:ind w:firstLine="560" w:firstLineChars="200"/>
        <w:rPr>
          <w:rFonts w:hint="default" w:ascii="仿宋" w:hAnsi="仿宋" w:eastAsia="仿宋" w:cs="仿宋"/>
          <w:sz w:val="28"/>
          <w:szCs w:val="36"/>
          <w:lang w:eastAsia="zh-CN"/>
        </w:rPr>
      </w:pPr>
      <w:r>
        <w:rPr>
          <w:rFonts w:hint="default" w:ascii="仿宋" w:hAnsi="仿宋" w:eastAsia="仿宋" w:cs="仿宋"/>
          <w:sz w:val="28"/>
          <w:szCs w:val="36"/>
          <w:lang w:eastAsia="zh-CN"/>
        </w:rPr>
        <w:t>财务公司作为一家经中国银行保险监督管理委员会批准的规范性非银行金融机构，在其经营范围内为公司及下属子分公司提供金融服务</w:t>
      </w:r>
      <w:r>
        <w:rPr>
          <w:rFonts w:hint="eastAsia" w:ascii="仿宋" w:hAnsi="仿宋" w:eastAsia="仿宋" w:cs="仿宋"/>
          <w:sz w:val="28"/>
          <w:szCs w:val="36"/>
          <w:lang w:eastAsia="zh-CN"/>
        </w:rPr>
        <w:t>，</w:t>
      </w:r>
      <w:r>
        <w:rPr>
          <w:rFonts w:hint="default" w:ascii="仿宋" w:hAnsi="仿宋" w:eastAsia="仿宋" w:cs="仿宋"/>
          <w:sz w:val="28"/>
          <w:szCs w:val="36"/>
          <w:lang w:eastAsia="zh-CN"/>
        </w:rPr>
        <w:t>符合国家有关法律法规的规定。</w:t>
      </w:r>
      <w:r>
        <w:rPr>
          <w:rFonts w:hint="default" w:ascii="仿宋" w:hAnsi="仿宋" w:eastAsia="仿宋" w:cs="仿宋"/>
          <w:sz w:val="28"/>
          <w:szCs w:val="36"/>
          <w:highlight w:val="none"/>
          <w:lang w:eastAsia="zh-CN"/>
        </w:rPr>
        <w:t>立信会计师事务所（特殊普通合伙）出具的《关于国家电投集团财务有限公司2023年12月31日风险评估专项审核报告》</w:t>
      </w:r>
      <w:r>
        <w:rPr>
          <w:rFonts w:hint="eastAsia" w:hAnsi="仿宋" w:eastAsia="仿宋" w:cs="仿宋"/>
          <w:sz w:val="28"/>
          <w:szCs w:val="28"/>
          <w:highlight w:val="none"/>
        </w:rPr>
        <w:t>（信会师报字</w:t>
      </w:r>
      <w:r>
        <w:rPr>
          <w:rFonts w:hAnsi="仿宋" w:eastAsia="仿宋"/>
          <w:sz w:val="28"/>
          <w:szCs w:val="28"/>
          <w:highlight w:val="none"/>
        </w:rPr>
        <w:t>[</w:t>
      </w:r>
      <w:r>
        <w:rPr>
          <w:rFonts w:hint="eastAsia" w:hAnsi="仿宋" w:eastAsia="仿宋"/>
          <w:sz w:val="28"/>
          <w:szCs w:val="28"/>
          <w:highlight w:val="none"/>
          <w:lang w:eastAsia="zh-CN"/>
        </w:rPr>
        <w:t>2024</w:t>
      </w:r>
      <w:r>
        <w:rPr>
          <w:rFonts w:hAnsi="仿宋" w:eastAsia="仿宋"/>
          <w:sz w:val="28"/>
          <w:szCs w:val="28"/>
          <w:highlight w:val="none"/>
        </w:rPr>
        <w:t>]</w:t>
      </w:r>
      <w:r>
        <w:rPr>
          <w:rFonts w:hint="eastAsia" w:hAnsi="仿宋" w:eastAsia="仿宋" w:cs="仿宋"/>
          <w:sz w:val="28"/>
          <w:szCs w:val="28"/>
          <w:highlight w:val="none"/>
        </w:rPr>
        <w:t>第ZG26464号）</w:t>
      </w:r>
      <w:r>
        <w:rPr>
          <w:rFonts w:hAnsi="仿宋" w:eastAsia="仿宋"/>
          <w:sz w:val="28"/>
          <w:szCs w:val="28"/>
          <w:highlight w:val="none"/>
        </w:rPr>
        <w:t>，</w:t>
      </w:r>
      <w:r>
        <w:rPr>
          <w:rFonts w:hint="default" w:ascii="仿宋" w:hAnsi="仿宋" w:eastAsia="仿宋" w:cs="仿宋"/>
          <w:sz w:val="28"/>
          <w:szCs w:val="36"/>
          <w:highlight w:val="none"/>
          <w:lang w:eastAsia="zh-CN"/>
        </w:rPr>
        <w:t>充分反映了财务公司的经营资质、业务和风险状况。作为非银行金融机构，其业务范围、业务内容和流程、内部的风险控制制度等措施都受到国家金融监督管理总局的严格监管。在上述风险控制的条件下，同意</w:t>
      </w:r>
      <w:r>
        <w:rPr>
          <w:rFonts w:hint="eastAsia" w:ascii="仿宋" w:hAnsi="仿宋" w:eastAsia="仿宋" w:cs="仿宋"/>
          <w:sz w:val="28"/>
          <w:szCs w:val="36"/>
          <w:highlight w:val="none"/>
          <w:lang w:val="en-US" w:eastAsia="zh-CN"/>
        </w:rPr>
        <w:t>财务公司</w:t>
      </w:r>
      <w:r>
        <w:rPr>
          <w:rFonts w:hint="default" w:ascii="仿宋" w:hAnsi="仿宋" w:eastAsia="仿宋" w:cs="仿宋"/>
          <w:sz w:val="28"/>
          <w:szCs w:val="36"/>
          <w:highlight w:val="none"/>
          <w:lang w:eastAsia="zh-CN"/>
        </w:rPr>
        <w:t>向公司及下属子分公司提供相关金融服务。</w:t>
      </w:r>
      <w:r>
        <w:rPr>
          <w:rFonts w:hint="default" w:ascii="仿宋" w:hAnsi="仿宋" w:eastAsia="仿宋" w:cs="仿宋"/>
          <w:sz w:val="28"/>
          <w:szCs w:val="36"/>
          <w:lang w:eastAsia="zh-CN"/>
        </w:rPr>
        <w:t xml:space="preserve">该关联交易有利于拓宽公司融资渠道，降低公司融资成本，符合公司经营发展的需要。不存在损害上市公司股东，尤其是中小股东利益的情形，对公司本期及未来财务状况、经营成果无不利影响。 </w:t>
      </w:r>
    </w:p>
    <w:p>
      <w:pPr>
        <w:spacing w:line="560" w:lineRule="exact"/>
        <w:ind w:firstLine="562" w:firstLineChars="200"/>
        <w:rPr>
          <w:rFonts w:eastAsia="仿宋"/>
          <w:b/>
          <w:sz w:val="28"/>
          <w:szCs w:val="28"/>
          <w:highlight w:val="none"/>
        </w:rPr>
      </w:pPr>
      <w:r>
        <w:rPr>
          <w:rFonts w:hAnsi="仿宋" w:eastAsia="仿宋"/>
          <w:b/>
          <w:sz w:val="28"/>
          <w:szCs w:val="28"/>
          <w:highlight w:val="none"/>
        </w:rPr>
        <w:t>十、备查文件</w:t>
      </w:r>
    </w:p>
    <w:p>
      <w:pPr>
        <w:spacing w:line="560" w:lineRule="exact"/>
        <w:ind w:firstLine="560" w:firstLineChars="200"/>
        <w:rPr>
          <w:rFonts w:eastAsia="仿宋"/>
          <w:sz w:val="28"/>
          <w:szCs w:val="28"/>
          <w:highlight w:val="none"/>
        </w:rPr>
      </w:pPr>
      <w:r>
        <w:rPr>
          <w:rFonts w:eastAsia="仿宋"/>
          <w:sz w:val="28"/>
          <w:szCs w:val="28"/>
          <w:highlight w:val="none"/>
        </w:rPr>
        <w:t>1</w:t>
      </w:r>
      <w:r>
        <w:rPr>
          <w:rFonts w:hint="eastAsia" w:hAnsi="仿宋" w:eastAsia="仿宋"/>
          <w:sz w:val="28"/>
          <w:szCs w:val="28"/>
          <w:highlight w:val="none"/>
        </w:rPr>
        <w:t>.</w:t>
      </w:r>
      <w:r>
        <w:rPr>
          <w:rFonts w:hAnsi="仿宋" w:eastAsia="仿宋"/>
          <w:sz w:val="28"/>
          <w:szCs w:val="28"/>
          <w:highlight w:val="none"/>
        </w:rPr>
        <w:t>公司第</w:t>
      </w:r>
      <w:r>
        <w:rPr>
          <w:rFonts w:hint="eastAsia" w:hAnsi="仿宋" w:eastAsia="仿宋"/>
          <w:sz w:val="28"/>
          <w:szCs w:val="28"/>
          <w:highlight w:val="none"/>
          <w:lang w:val="en-US" w:eastAsia="zh-CN"/>
        </w:rPr>
        <w:t>九</w:t>
      </w:r>
      <w:r>
        <w:rPr>
          <w:rFonts w:hAnsi="仿宋" w:eastAsia="仿宋"/>
          <w:sz w:val="28"/>
          <w:szCs w:val="28"/>
          <w:highlight w:val="none"/>
        </w:rPr>
        <w:t>届董事会第</w:t>
      </w:r>
      <w:r>
        <w:rPr>
          <w:rFonts w:hint="eastAsia" w:hAnsi="仿宋" w:eastAsia="仿宋"/>
          <w:sz w:val="28"/>
          <w:szCs w:val="28"/>
          <w:highlight w:val="none"/>
          <w:lang w:val="en-US" w:eastAsia="zh-CN"/>
        </w:rPr>
        <w:t>十七</w:t>
      </w:r>
      <w:r>
        <w:rPr>
          <w:rFonts w:hAnsi="仿宋" w:eastAsia="仿宋"/>
          <w:sz w:val="28"/>
          <w:szCs w:val="28"/>
          <w:highlight w:val="none"/>
        </w:rPr>
        <w:t>次会议决议；</w:t>
      </w:r>
      <w:r>
        <w:rPr>
          <w:rFonts w:eastAsia="仿宋"/>
          <w:sz w:val="28"/>
          <w:szCs w:val="28"/>
          <w:highlight w:val="none"/>
        </w:rPr>
        <w:t xml:space="preserve"> </w:t>
      </w:r>
    </w:p>
    <w:p>
      <w:pPr>
        <w:spacing w:line="560" w:lineRule="exact"/>
        <w:ind w:firstLine="560" w:firstLineChars="200"/>
        <w:rPr>
          <w:rFonts w:eastAsia="仿宋"/>
          <w:sz w:val="28"/>
          <w:szCs w:val="28"/>
          <w:highlight w:val="none"/>
        </w:rPr>
      </w:pPr>
      <w:r>
        <w:rPr>
          <w:rFonts w:eastAsia="仿宋"/>
          <w:sz w:val="28"/>
          <w:szCs w:val="28"/>
          <w:highlight w:val="none"/>
        </w:rPr>
        <w:t>2</w:t>
      </w:r>
      <w:r>
        <w:rPr>
          <w:rFonts w:hint="eastAsia" w:hAnsi="仿宋" w:eastAsia="仿宋"/>
          <w:sz w:val="28"/>
          <w:szCs w:val="28"/>
          <w:highlight w:val="none"/>
        </w:rPr>
        <w:t>.</w:t>
      </w:r>
      <w:r>
        <w:rPr>
          <w:rFonts w:hAnsi="仿宋" w:eastAsia="仿宋"/>
          <w:sz w:val="28"/>
          <w:szCs w:val="28"/>
          <w:highlight w:val="none"/>
        </w:rPr>
        <w:t>公司第</w:t>
      </w:r>
      <w:r>
        <w:rPr>
          <w:rFonts w:hint="eastAsia" w:hAnsi="仿宋" w:eastAsia="仿宋"/>
          <w:sz w:val="28"/>
          <w:szCs w:val="28"/>
          <w:highlight w:val="none"/>
          <w:lang w:val="en-US" w:eastAsia="zh-CN"/>
        </w:rPr>
        <w:t>九</w:t>
      </w:r>
      <w:r>
        <w:rPr>
          <w:rFonts w:hAnsi="仿宋" w:eastAsia="仿宋"/>
          <w:sz w:val="28"/>
          <w:szCs w:val="28"/>
          <w:highlight w:val="none"/>
        </w:rPr>
        <w:t>届监事会第</w:t>
      </w:r>
      <w:r>
        <w:rPr>
          <w:rFonts w:hint="eastAsia" w:hAnsi="仿宋" w:eastAsia="仿宋"/>
          <w:sz w:val="28"/>
          <w:szCs w:val="28"/>
          <w:highlight w:val="none"/>
          <w:lang w:val="en-US" w:eastAsia="zh-CN"/>
        </w:rPr>
        <w:t>十二</w:t>
      </w:r>
      <w:r>
        <w:rPr>
          <w:rFonts w:hAnsi="仿宋" w:eastAsia="仿宋"/>
          <w:sz w:val="28"/>
          <w:szCs w:val="28"/>
          <w:highlight w:val="none"/>
        </w:rPr>
        <w:t>次会议决议；</w:t>
      </w:r>
    </w:p>
    <w:p>
      <w:pPr>
        <w:spacing w:line="560" w:lineRule="exact"/>
        <w:ind w:firstLine="560" w:firstLineChars="200"/>
        <w:rPr>
          <w:rFonts w:eastAsia="仿宋"/>
          <w:sz w:val="28"/>
          <w:szCs w:val="28"/>
          <w:highlight w:val="none"/>
        </w:rPr>
      </w:pPr>
      <w:r>
        <w:rPr>
          <w:rFonts w:eastAsia="仿宋"/>
          <w:sz w:val="28"/>
          <w:szCs w:val="28"/>
          <w:highlight w:val="none"/>
        </w:rPr>
        <w:t>3</w:t>
      </w:r>
      <w:r>
        <w:rPr>
          <w:rFonts w:hint="eastAsia" w:hAnsi="仿宋" w:eastAsia="仿宋"/>
          <w:sz w:val="28"/>
          <w:szCs w:val="28"/>
          <w:highlight w:val="none"/>
        </w:rPr>
        <w:t>.</w:t>
      </w:r>
      <w:r>
        <w:rPr>
          <w:rFonts w:hint="eastAsia" w:hAnsi="仿宋" w:eastAsia="仿宋"/>
          <w:kern w:val="0"/>
          <w:sz w:val="28"/>
          <w:szCs w:val="28"/>
          <w:highlight w:val="none"/>
        </w:rPr>
        <w:t>202</w:t>
      </w:r>
      <w:r>
        <w:rPr>
          <w:rFonts w:hint="eastAsia" w:hAnsi="仿宋" w:eastAsia="仿宋"/>
          <w:kern w:val="0"/>
          <w:sz w:val="28"/>
          <w:szCs w:val="28"/>
          <w:highlight w:val="none"/>
          <w:lang w:val="en-US" w:eastAsia="zh-CN"/>
        </w:rPr>
        <w:t>4</w:t>
      </w:r>
      <w:r>
        <w:rPr>
          <w:rFonts w:hint="eastAsia" w:hAnsi="仿宋" w:eastAsia="仿宋"/>
          <w:kern w:val="0"/>
          <w:sz w:val="28"/>
          <w:szCs w:val="28"/>
          <w:highlight w:val="none"/>
        </w:rPr>
        <w:t>年第</w:t>
      </w:r>
      <w:r>
        <w:rPr>
          <w:rFonts w:hint="eastAsia" w:hAnsi="仿宋" w:eastAsia="仿宋"/>
          <w:kern w:val="0"/>
          <w:sz w:val="28"/>
          <w:szCs w:val="28"/>
          <w:highlight w:val="none"/>
          <w:lang w:val="en-US" w:eastAsia="zh-CN"/>
        </w:rPr>
        <w:t>二</w:t>
      </w:r>
      <w:r>
        <w:rPr>
          <w:rFonts w:hint="eastAsia" w:hAnsi="仿宋" w:eastAsia="仿宋"/>
          <w:kern w:val="0"/>
          <w:sz w:val="28"/>
          <w:szCs w:val="28"/>
          <w:highlight w:val="none"/>
        </w:rPr>
        <w:t>次独立董事专门会议</w:t>
      </w:r>
      <w:r>
        <w:rPr>
          <w:rFonts w:hint="eastAsia" w:hAnsi="仿宋" w:eastAsia="仿宋"/>
          <w:kern w:val="0"/>
          <w:sz w:val="28"/>
          <w:szCs w:val="28"/>
          <w:highlight w:val="none"/>
          <w:lang w:val="en-US" w:eastAsia="zh-CN"/>
        </w:rPr>
        <w:t>审查</w:t>
      </w:r>
      <w:r>
        <w:rPr>
          <w:rFonts w:hAnsi="仿宋" w:eastAsia="仿宋"/>
          <w:sz w:val="28"/>
          <w:szCs w:val="28"/>
          <w:highlight w:val="none"/>
        </w:rPr>
        <w:t>意见；</w:t>
      </w:r>
      <w:r>
        <w:rPr>
          <w:rFonts w:eastAsia="仿宋"/>
          <w:sz w:val="28"/>
          <w:szCs w:val="28"/>
          <w:highlight w:val="none"/>
        </w:rPr>
        <w:t xml:space="preserve"> </w:t>
      </w:r>
    </w:p>
    <w:p>
      <w:pPr>
        <w:spacing w:line="560" w:lineRule="exact"/>
        <w:ind w:firstLine="560" w:firstLineChars="200"/>
        <w:rPr>
          <w:rFonts w:hint="eastAsia" w:hAnsi="仿宋" w:eastAsia="仿宋" w:cs="仿宋"/>
          <w:sz w:val="28"/>
          <w:szCs w:val="28"/>
          <w:highlight w:val="none"/>
          <w:lang w:eastAsia="zh-CN"/>
        </w:rPr>
      </w:pPr>
      <w:r>
        <w:rPr>
          <w:rFonts w:eastAsia="仿宋"/>
          <w:sz w:val="28"/>
          <w:szCs w:val="28"/>
          <w:highlight w:val="none"/>
        </w:rPr>
        <w:t>4</w:t>
      </w:r>
      <w:r>
        <w:rPr>
          <w:rFonts w:hint="eastAsia" w:hAnsi="仿宋" w:eastAsia="仿宋"/>
          <w:sz w:val="28"/>
          <w:szCs w:val="28"/>
          <w:highlight w:val="none"/>
        </w:rPr>
        <w:t>.立信会计师事务所（特殊普通合伙）出具的《关于国家电投集团财务有限公司</w:t>
      </w:r>
      <w:r>
        <w:rPr>
          <w:rFonts w:hint="eastAsia" w:hAnsi="仿宋" w:eastAsia="仿宋"/>
          <w:sz w:val="28"/>
          <w:szCs w:val="28"/>
          <w:highlight w:val="none"/>
          <w:lang w:eastAsia="zh-CN"/>
        </w:rPr>
        <w:t>2023</w:t>
      </w:r>
      <w:r>
        <w:rPr>
          <w:rFonts w:hint="eastAsia" w:hAnsi="仿宋" w:eastAsia="仿宋"/>
          <w:sz w:val="28"/>
          <w:szCs w:val="28"/>
          <w:highlight w:val="none"/>
        </w:rPr>
        <w:t>年12月31日风险评估专项审核报告》（</w:t>
      </w:r>
      <w:r>
        <w:rPr>
          <w:rFonts w:hint="eastAsia" w:hAnsi="仿宋" w:eastAsia="仿宋" w:cs="仿宋"/>
          <w:sz w:val="28"/>
          <w:szCs w:val="28"/>
          <w:highlight w:val="none"/>
        </w:rPr>
        <w:t>信会师报字</w:t>
      </w:r>
      <w:r>
        <w:rPr>
          <w:rFonts w:hAnsi="仿宋" w:eastAsia="仿宋"/>
          <w:sz w:val="28"/>
          <w:szCs w:val="28"/>
          <w:highlight w:val="none"/>
        </w:rPr>
        <w:t>[</w:t>
      </w:r>
      <w:r>
        <w:rPr>
          <w:rFonts w:hint="eastAsia" w:hAnsi="仿宋" w:eastAsia="仿宋"/>
          <w:sz w:val="28"/>
          <w:szCs w:val="28"/>
          <w:highlight w:val="none"/>
          <w:lang w:eastAsia="zh-CN"/>
        </w:rPr>
        <w:t>2024</w:t>
      </w:r>
      <w:r>
        <w:rPr>
          <w:rFonts w:hAnsi="仿宋" w:eastAsia="仿宋"/>
          <w:sz w:val="28"/>
          <w:szCs w:val="28"/>
          <w:highlight w:val="none"/>
        </w:rPr>
        <w:t>]</w:t>
      </w:r>
      <w:r>
        <w:rPr>
          <w:rFonts w:hint="eastAsia" w:hAnsi="仿宋" w:eastAsia="仿宋" w:cs="仿宋"/>
          <w:sz w:val="28"/>
          <w:szCs w:val="28"/>
          <w:highlight w:val="none"/>
        </w:rPr>
        <w:t>第ZG26464号</w:t>
      </w:r>
      <w:r>
        <w:rPr>
          <w:rFonts w:hint="eastAsia" w:hAnsi="仿宋" w:eastAsia="仿宋"/>
          <w:sz w:val="28"/>
          <w:szCs w:val="28"/>
          <w:highlight w:val="none"/>
        </w:rPr>
        <w:t>）</w:t>
      </w:r>
      <w:r>
        <w:rPr>
          <w:rFonts w:hint="eastAsia" w:hAnsi="仿宋" w:eastAsia="仿宋" w:cs="仿宋"/>
          <w:sz w:val="28"/>
          <w:szCs w:val="28"/>
          <w:highlight w:val="none"/>
          <w:lang w:eastAsia="zh-CN"/>
        </w:rPr>
        <w:t>；</w:t>
      </w:r>
    </w:p>
    <w:p>
      <w:pPr>
        <w:spacing w:line="560" w:lineRule="exact"/>
        <w:ind w:firstLine="560" w:firstLineChars="200"/>
        <w:rPr>
          <w:rFonts w:eastAsia="仿宋"/>
          <w:sz w:val="28"/>
          <w:szCs w:val="28"/>
          <w:highlight w:val="none"/>
        </w:rPr>
      </w:pPr>
      <w:r>
        <w:rPr>
          <w:rFonts w:hint="eastAsia" w:hAnsi="仿宋" w:eastAsia="仿宋"/>
          <w:bCs/>
          <w:color w:val="auto"/>
          <w:sz w:val="28"/>
          <w:szCs w:val="28"/>
          <w:highlight w:val="none"/>
          <w:lang w:val="en-US" w:eastAsia="zh-CN"/>
        </w:rPr>
        <w:t>5.</w:t>
      </w:r>
      <w:r>
        <w:rPr>
          <w:rFonts w:hint="eastAsia" w:hAnsi="仿宋" w:eastAsia="仿宋"/>
          <w:bCs/>
          <w:color w:val="auto"/>
          <w:sz w:val="28"/>
          <w:szCs w:val="28"/>
          <w:highlight w:val="none"/>
        </w:rPr>
        <w:t>公司</w:t>
      </w:r>
      <w:r>
        <w:rPr>
          <w:rFonts w:hint="eastAsia" w:hAnsi="仿宋" w:eastAsia="仿宋"/>
          <w:color w:val="000000"/>
          <w:sz w:val="28"/>
          <w:szCs w:val="28"/>
          <w:highlight w:val="none"/>
        </w:rPr>
        <w:t>与国家电投集团财务有限公司关联交易的风险处置预案</w:t>
      </w:r>
      <w:bookmarkStart w:id="1" w:name="_GoBack"/>
      <w:r>
        <w:rPr>
          <w:rFonts w:hAnsi="仿宋" w:eastAsia="仿宋"/>
          <w:color w:val="auto"/>
          <w:sz w:val="28"/>
          <w:szCs w:val="28"/>
          <w:highlight w:val="none"/>
        </w:rPr>
        <w:t>。</w:t>
      </w:r>
      <w:bookmarkEnd w:id="1"/>
    </w:p>
    <w:p>
      <w:pPr>
        <w:spacing w:line="560" w:lineRule="exact"/>
        <w:ind w:firstLine="560" w:firstLineChars="200"/>
        <w:rPr>
          <w:rFonts w:hAnsi="仿宋" w:eastAsia="仿宋"/>
          <w:sz w:val="28"/>
          <w:szCs w:val="28"/>
          <w:highlight w:val="none"/>
        </w:rPr>
      </w:pPr>
    </w:p>
    <w:p>
      <w:pPr>
        <w:spacing w:line="560" w:lineRule="exact"/>
        <w:ind w:firstLine="560" w:firstLineChars="200"/>
        <w:rPr>
          <w:rFonts w:eastAsia="仿宋"/>
          <w:sz w:val="28"/>
          <w:szCs w:val="28"/>
          <w:highlight w:val="none"/>
        </w:rPr>
      </w:pPr>
      <w:r>
        <w:rPr>
          <w:rFonts w:hAnsi="仿宋" w:eastAsia="仿宋"/>
          <w:sz w:val="28"/>
          <w:szCs w:val="28"/>
          <w:highlight w:val="none"/>
        </w:rPr>
        <w:t>特此公告。</w:t>
      </w:r>
    </w:p>
    <w:p>
      <w:pPr>
        <w:spacing w:line="560" w:lineRule="exact"/>
        <w:ind w:firstLine="4480" w:firstLineChars="1600"/>
        <w:rPr>
          <w:rFonts w:eastAsia="仿宋"/>
          <w:sz w:val="28"/>
          <w:szCs w:val="28"/>
          <w:highlight w:val="none"/>
        </w:rPr>
      </w:pPr>
      <w:r>
        <w:rPr>
          <w:rFonts w:eastAsia="仿宋"/>
          <w:sz w:val="28"/>
          <w:szCs w:val="28"/>
          <w:highlight w:val="none"/>
        </w:rPr>
        <w:t xml:space="preserve"> </w:t>
      </w:r>
    </w:p>
    <w:p>
      <w:pPr>
        <w:spacing w:line="560" w:lineRule="exact"/>
        <w:ind w:firstLine="4480" w:firstLineChars="1600"/>
        <w:rPr>
          <w:rFonts w:eastAsia="仿宋"/>
          <w:sz w:val="28"/>
          <w:szCs w:val="28"/>
          <w:highlight w:val="none"/>
        </w:rPr>
      </w:pPr>
      <w:r>
        <w:rPr>
          <w:rFonts w:hAnsi="仿宋" w:eastAsia="仿宋"/>
          <w:sz w:val="28"/>
          <w:szCs w:val="28"/>
          <w:highlight w:val="none"/>
        </w:rPr>
        <w:t>吉林电力股份有限公司董事会</w:t>
      </w:r>
    </w:p>
    <w:p>
      <w:pPr>
        <w:spacing w:line="560" w:lineRule="exact"/>
        <w:ind w:left="6160" w:hanging="6160" w:hangingChars="2200"/>
        <w:rPr>
          <w:rFonts w:ascii="仿宋" w:hAnsi="仿宋" w:eastAsia="仿宋"/>
          <w:sz w:val="28"/>
          <w:szCs w:val="28"/>
          <w:highlight w:val="none"/>
        </w:rPr>
      </w:pPr>
      <w:r>
        <w:rPr>
          <w:rFonts w:eastAsia="仿宋"/>
          <w:sz w:val="28"/>
          <w:szCs w:val="28"/>
          <w:highlight w:val="none"/>
        </w:rPr>
        <w:t xml:space="preserve">                                 </w:t>
      </w:r>
      <w:r>
        <w:rPr>
          <w:rFonts w:ascii="仿宋" w:hAnsi="仿宋" w:eastAsia="仿宋"/>
          <w:sz w:val="28"/>
          <w:szCs w:val="28"/>
          <w:highlight w:val="none"/>
        </w:rPr>
        <w:t xml:space="preserve">  二○二</w:t>
      </w:r>
      <w:r>
        <w:rPr>
          <w:rFonts w:hint="eastAsia" w:ascii="仿宋" w:hAnsi="仿宋" w:eastAsia="仿宋"/>
          <w:sz w:val="28"/>
          <w:szCs w:val="28"/>
          <w:highlight w:val="none"/>
          <w:lang w:val="en-US" w:eastAsia="zh-CN"/>
        </w:rPr>
        <w:t>四</w:t>
      </w:r>
      <w:r>
        <w:rPr>
          <w:rFonts w:ascii="仿宋" w:hAnsi="仿宋" w:eastAsia="仿宋"/>
          <w:sz w:val="28"/>
          <w:szCs w:val="28"/>
          <w:highlight w:val="none"/>
        </w:rPr>
        <w:t>年</w:t>
      </w:r>
      <w:r>
        <w:rPr>
          <w:rFonts w:hint="eastAsia" w:ascii="仿宋" w:hAnsi="仿宋" w:eastAsia="仿宋"/>
          <w:sz w:val="28"/>
          <w:szCs w:val="28"/>
          <w:highlight w:val="none"/>
          <w:lang w:val="en-US" w:eastAsia="zh-CN"/>
        </w:rPr>
        <w:t>四</w:t>
      </w:r>
      <w:r>
        <w:rPr>
          <w:rFonts w:ascii="仿宋" w:hAnsi="仿宋" w:eastAsia="仿宋"/>
          <w:sz w:val="28"/>
          <w:szCs w:val="28"/>
          <w:highlight w:val="none"/>
        </w:rPr>
        <w:t>月二十</w:t>
      </w:r>
      <w:r>
        <w:rPr>
          <w:rFonts w:hint="eastAsia" w:ascii="仿宋" w:hAnsi="仿宋" w:eastAsia="仿宋"/>
          <w:sz w:val="28"/>
          <w:szCs w:val="28"/>
          <w:highlight w:val="none"/>
          <w:lang w:val="en-US" w:eastAsia="zh-CN"/>
        </w:rPr>
        <w:t>六</w:t>
      </w:r>
      <w:r>
        <w:rPr>
          <w:rFonts w:ascii="仿宋" w:hAnsi="仿宋" w:eastAsia="仿宋"/>
          <w:sz w:val="28"/>
          <w:szCs w:val="28"/>
          <w:highlight w:val="none"/>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67C3D"/>
    <w:multiLevelType w:val="singleLevel"/>
    <w:tmpl w:val="64067C3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27BE"/>
    <w:rsid w:val="000107E4"/>
    <w:rsid w:val="00041CB8"/>
    <w:rsid w:val="00051DD0"/>
    <w:rsid w:val="000538B8"/>
    <w:rsid w:val="000818F4"/>
    <w:rsid w:val="000C78F6"/>
    <w:rsid w:val="000E3BF6"/>
    <w:rsid w:val="000F2CCC"/>
    <w:rsid w:val="00112914"/>
    <w:rsid w:val="0013412A"/>
    <w:rsid w:val="00161CF3"/>
    <w:rsid w:val="00194C97"/>
    <w:rsid w:val="001E42D6"/>
    <w:rsid w:val="00216F78"/>
    <w:rsid w:val="0023560D"/>
    <w:rsid w:val="00243489"/>
    <w:rsid w:val="0025554D"/>
    <w:rsid w:val="002667C9"/>
    <w:rsid w:val="00293BC1"/>
    <w:rsid w:val="002A306B"/>
    <w:rsid w:val="002C617C"/>
    <w:rsid w:val="002E0CFD"/>
    <w:rsid w:val="00352F24"/>
    <w:rsid w:val="00372CDF"/>
    <w:rsid w:val="003837F9"/>
    <w:rsid w:val="0045708F"/>
    <w:rsid w:val="004A7688"/>
    <w:rsid w:val="004C10DD"/>
    <w:rsid w:val="004E0CDB"/>
    <w:rsid w:val="00514696"/>
    <w:rsid w:val="005671E5"/>
    <w:rsid w:val="00573A5A"/>
    <w:rsid w:val="005E0C10"/>
    <w:rsid w:val="005E1145"/>
    <w:rsid w:val="00607F64"/>
    <w:rsid w:val="006313CC"/>
    <w:rsid w:val="00634A5A"/>
    <w:rsid w:val="006426CD"/>
    <w:rsid w:val="00692F0B"/>
    <w:rsid w:val="00695182"/>
    <w:rsid w:val="006A5C00"/>
    <w:rsid w:val="006C2F38"/>
    <w:rsid w:val="006D1419"/>
    <w:rsid w:val="00700C50"/>
    <w:rsid w:val="007015FC"/>
    <w:rsid w:val="00710AAB"/>
    <w:rsid w:val="00720A20"/>
    <w:rsid w:val="007411DA"/>
    <w:rsid w:val="00763E60"/>
    <w:rsid w:val="00790988"/>
    <w:rsid w:val="00795F6F"/>
    <w:rsid w:val="007F26D7"/>
    <w:rsid w:val="00817849"/>
    <w:rsid w:val="00862547"/>
    <w:rsid w:val="00873A09"/>
    <w:rsid w:val="008850A2"/>
    <w:rsid w:val="00944D53"/>
    <w:rsid w:val="00945A42"/>
    <w:rsid w:val="00995499"/>
    <w:rsid w:val="00995D2C"/>
    <w:rsid w:val="00A10FA4"/>
    <w:rsid w:val="00A4089A"/>
    <w:rsid w:val="00A63CF9"/>
    <w:rsid w:val="00AD2C45"/>
    <w:rsid w:val="00AD7221"/>
    <w:rsid w:val="00AE320B"/>
    <w:rsid w:val="00B02135"/>
    <w:rsid w:val="00B062E8"/>
    <w:rsid w:val="00B90588"/>
    <w:rsid w:val="00B97588"/>
    <w:rsid w:val="00BB606D"/>
    <w:rsid w:val="00BE3D7C"/>
    <w:rsid w:val="00BF2EAB"/>
    <w:rsid w:val="00C052BF"/>
    <w:rsid w:val="00C05A2E"/>
    <w:rsid w:val="00C22B9E"/>
    <w:rsid w:val="00C540FA"/>
    <w:rsid w:val="00C60F9E"/>
    <w:rsid w:val="00C74087"/>
    <w:rsid w:val="00CA629A"/>
    <w:rsid w:val="00CC374A"/>
    <w:rsid w:val="00CF777D"/>
    <w:rsid w:val="00D05E79"/>
    <w:rsid w:val="00D16AD6"/>
    <w:rsid w:val="00D2347A"/>
    <w:rsid w:val="00D515CB"/>
    <w:rsid w:val="00D550F7"/>
    <w:rsid w:val="00D706E3"/>
    <w:rsid w:val="00D8108A"/>
    <w:rsid w:val="00D90E16"/>
    <w:rsid w:val="00DA6641"/>
    <w:rsid w:val="00DC450E"/>
    <w:rsid w:val="00DD722F"/>
    <w:rsid w:val="00DF5F99"/>
    <w:rsid w:val="00E332BC"/>
    <w:rsid w:val="00E57B60"/>
    <w:rsid w:val="00E71C46"/>
    <w:rsid w:val="00E815B7"/>
    <w:rsid w:val="00E94568"/>
    <w:rsid w:val="00EA1DAD"/>
    <w:rsid w:val="00ED7CBB"/>
    <w:rsid w:val="00EE3A10"/>
    <w:rsid w:val="00F24289"/>
    <w:rsid w:val="00F74641"/>
    <w:rsid w:val="00FB2369"/>
    <w:rsid w:val="00FB4545"/>
    <w:rsid w:val="00FC636A"/>
    <w:rsid w:val="00FD7CC0"/>
    <w:rsid w:val="00FE7266"/>
    <w:rsid w:val="00FF60DC"/>
    <w:rsid w:val="01020EF5"/>
    <w:rsid w:val="014147C5"/>
    <w:rsid w:val="015C3044"/>
    <w:rsid w:val="01A36244"/>
    <w:rsid w:val="01C50991"/>
    <w:rsid w:val="01DC6CBB"/>
    <w:rsid w:val="03C137B9"/>
    <w:rsid w:val="043A4E3C"/>
    <w:rsid w:val="06381B14"/>
    <w:rsid w:val="07371D4E"/>
    <w:rsid w:val="07A9401C"/>
    <w:rsid w:val="088C0E9E"/>
    <w:rsid w:val="0BBF1850"/>
    <w:rsid w:val="0C3E7F8E"/>
    <w:rsid w:val="0FAD1CCD"/>
    <w:rsid w:val="10865294"/>
    <w:rsid w:val="10AC4182"/>
    <w:rsid w:val="10E141B4"/>
    <w:rsid w:val="137529AC"/>
    <w:rsid w:val="13A3772B"/>
    <w:rsid w:val="14257CAB"/>
    <w:rsid w:val="14275B95"/>
    <w:rsid w:val="14F612DB"/>
    <w:rsid w:val="155D4DE6"/>
    <w:rsid w:val="16F02673"/>
    <w:rsid w:val="171445DD"/>
    <w:rsid w:val="17241538"/>
    <w:rsid w:val="1A5F5F8E"/>
    <w:rsid w:val="1B296A13"/>
    <w:rsid w:val="1B632CB7"/>
    <w:rsid w:val="1BCD0951"/>
    <w:rsid w:val="1C543507"/>
    <w:rsid w:val="1DE638D7"/>
    <w:rsid w:val="1F2B35E5"/>
    <w:rsid w:val="1F583F07"/>
    <w:rsid w:val="1F6E3633"/>
    <w:rsid w:val="203B1ECA"/>
    <w:rsid w:val="234D4170"/>
    <w:rsid w:val="242C540D"/>
    <w:rsid w:val="249540F0"/>
    <w:rsid w:val="25451C8F"/>
    <w:rsid w:val="25EE1F95"/>
    <w:rsid w:val="277D0006"/>
    <w:rsid w:val="27DC6DD6"/>
    <w:rsid w:val="287601DC"/>
    <w:rsid w:val="28980961"/>
    <w:rsid w:val="2989249E"/>
    <w:rsid w:val="2B535944"/>
    <w:rsid w:val="2CFB3CE1"/>
    <w:rsid w:val="2FF274FD"/>
    <w:rsid w:val="31AB1E75"/>
    <w:rsid w:val="31C672F1"/>
    <w:rsid w:val="32632887"/>
    <w:rsid w:val="32862495"/>
    <w:rsid w:val="34A513D4"/>
    <w:rsid w:val="34AA10D0"/>
    <w:rsid w:val="35A65A99"/>
    <w:rsid w:val="365F0B11"/>
    <w:rsid w:val="36A24549"/>
    <w:rsid w:val="38E72EEC"/>
    <w:rsid w:val="3A3D1752"/>
    <w:rsid w:val="3A9F5689"/>
    <w:rsid w:val="3B6F1465"/>
    <w:rsid w:val="3D53281A"/>
    <w:rsid w:val="3E3268AB"/>
    <w:rsid w:val="3EA05E20"/>
    <w:rsid w:val="3EFA04F7"/>
    <w:rsid w:val="3FBB0A20"/>
    <w:rsid w:val="3FBB41FE"/>
    <w:rsid w:val="3FF56AAD"/>
    <w:rsid w:val="40671780"/>
    <w:rsid w:val="42792FB6"/>
    <w:rsid w:val="441B105D"/>
    <w:rsid w:val="45E60F47"/>
    <w:rsid w:val="461421BE"/>
    <w:rsid w:val="480E114B"/>
    <w:rsid w:val="4AF467B3"/>
    <w:rsid w:val="4C253A5B"/>
    <w:rsid w:val="4D0E6BDF"/>
    <w:rsid w:val="4DF806C0"/>
    <w:rsid w:val="4EE64B6B"/>
    <w:rsid w:val="4F426A31"/>
    <w:rsid w:val="50D802F1"/>
    <w:rsid w:val="50E35056"/>
    <w:rsid w:val="5410182B"/>
    <w:rsid w:val="54E362FF"/>
    <w:rsid w:val="54F27A10"/>
    <w:rsid w:val="559C5323"/>
    <w:rsid w:val="560648CF"/>
    <w:rsid w:val="57220B5A"/>
    <w:rsid w:val="578628B8"/>
    <w:rsid w:val="589E6404"/>
    <w:rsid w:val="58A9369E"/>
    <w:rsid w:val="58BA0ED8"/>
    <w:rsid w:val="59DC7CEC"/>
    <w:rsid w:val="5CA4119D"/>
    <w:rsid w:val="5D171851"/>
    <w:rsid w:val="5D2A02D3"/>
    <w:rsid w:val="5D83637D"/>
    <w:rsid w:val="5FA63350"/>
    <w:rsid w:val="5FB13808"/>
    <w:rsid w:val="5FC53E65"/>
    <w:rsid w:val="5FDA4BF2"/>
    <w:rsid w:val="612C587F"/>
    <w:rsid w:val="61A31EC5"/>
    <w:rsid w:val="62C17E2C"/>
    <w:rsid w:val="62C95C1E"/>
    <w:rsid w:val="62E97A48"/>
    <w:rsid w:val="63627865"/>
    <w:rsid w:val="63D110C1"/>
    <w:rsid w:val="64901F5D"/>
    <w:rsid w:val="655A009F"/>
    <w:rsid w:val="6672093E"/>
    <w:rsid w:val="67852B28"/>
    <w:rsid w:val="67F755B0"/>
    <w:rsid w:val="68947193"/>
    <w:rsid w:val="691479F1"/>
    <w:rsid w:val="69B12AD7"/>
    <w:rsid w:val="6B5C4AEB"/>
    <w:rsid w:val="6BA41FB7"/>
    <w:rsid w:val="6C5F7762"/>
    <w:rsid w:val="6CCA2B67"/>
    <w:rsid w:val="6D0E4DF5"/>
    <w:rsid w:val="6D957217"/>
    <w:rsid w:val="6E15553C"/>
    <w:rsid w:val="701A20A8"/>
    <w:rsid w:val="705E19EE"/>
    <w:rsid w:val="70AF7C55"/>
    <w:rsid w:val="71132285"/>
    <w:rsid w:val="71134036"/>
    <w:rsid w:val="719170B1"/>
    <w:rsid w:val="71C830A0"/>
    <w:rsid w:val="739B5966"/>
    <w:rsid w:val="74CA6A97"/>
    <w:rsid w:val="74F577B6"/>
    <w:rsid w:val="76623CBC"/>
    <w:rsid w:val="7682523F"/>
    <w:rsid w:val="77D8634E"/>
    <w:rsid w:val="77E9413A"/>
    <w:rsid w:val="78577E6B"/>
    <w:rsid w:val="79426719"/>
    <w:rsid w:val="79B471C4"/>
    <w:rsid w:val="7B8E2CDC"/>
    <w:rsid w:val="7BC6113E"/>
    <w:rsid w:val="7C717C91"/>
    <w:rsid w:val="7CC4452F"/>
    <w:rsid w:val="7DCA27F4"/>
    <w:rsid w:val="7E51768A"/>
    <w:rsid w:val="7E6B4A9E"/>
    <w:rsid w:val="7F3A55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link w:val="16"/>
    <w:autoRedefine/>
    <w:qFormat/>
    <w:uiPriority w:val="0"/>
    <w:pPr>
      <w:jc w:val="left"/>
    </w:p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paragraph" w:styleId="8">
    <w:name w:val="annotation subject"/>
    <w:basedOn w:val="3"/>
    <w:next w:val="3"/>
    <w:link w:val="18"/>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99"/>
    <w:rPr>
      <w:rFonts w:cs="Times New Roman"/>
      <w:b/>
      <w:bCs/>
    </w:rPr>
  </w:style>
  <w:style w:type="character" w:styleId="13">
    <w:name w:val="page number"/>
    <w:basedOn w:val="11"/>
    <w:autoRedefine/>
    <w:qFormat/>
    <w:uiPriority w:val="0"/>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character" w:customStyle="1" w:styleId="16">
    <w:name w:val="批注文字 字符"/>
    <w:link w:val="3"/>
    <w:autoRedefine/>
    <w:qFormat/>
    <w:uiPriority w:val="0"/>
    <w:rPr>
      <w:kern w:val="2"/>
      <w:sz w:val="21"/>
      <w:szCs w:val="24"/>
    </w:rPr>
  </w:style>
  <w:style w:type="character" w:customStyle="1" w:styleId="17">
    <w:name w:val="批注框文本 字符"/>
    <w:link w:val="4"/>
    <w:autoRedefine/>
    <w:qFormat/>
    <w:uiPriority w:val="0"/>
    <w:rPr>
      <w:kern w:val="2"/>
      <w:sz w:val="18"/>
      <w:szCs w:val="18"/>
    </w:rPr>
  </w:style>
  <w:style w:type="character" w:customStyle="1" w:styleId="18">
    <w:name w:val="批注主题 字符"/>
    <w:link w:val="8"/>
    <w:autoRedefine/>
    <w:qFormat/>
    <w:uiPriority w:val="0"/>
    <w:rPr>
      <w:b/>
      <w:bCs/>
      <w:kern w:val="2"/>
      <w:sz w:val="21"/>
      <w:szCs w:val="24"/>
    </w:rPr>
  </w:style>
  <w:style w:type="paragraph" w:customStyle="1" w:styleId="19">
    <w:name w:val="Char Char Char Char Char Char Char Char Char Char Char Char Char"/>
    <w:basedOn w:val="1"/>
    <w:autoRedefine/>
    <w:qFormat/>
    <w:uiPriority w:val="0"/>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2906</Words>
  <Characters>3105</Characters>
  <Lines>27</Lines>
  <Paragraphs>7</Paragraphs>
  <TotalTime>0</TotalTime>
  <ScaleCrop>false</ScaleCrop>
  <LinksUpToDate>false</LinksUpToDate>
  <CharactersWithSpaces>3177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2014-03-27T10:12:00Z</dcterms:created>
  <dc:creator>郭枫</dc:creator>
  <cp:lastModifiedBy>WPS_1591103659</cp:lastModifiedBy>
  <dcterms:modified xsi:type="dcterms:W3CDTF">2024-04-29T06:42:49Z</dcterms:modified>
  <dc:title>证券代码：000875            证券简称：吉电股份               公告编号：2011-019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CA2E35777D244715BF6753699EED4B47_13</vt:lpwstr>
  </property>
</Properties>
</file>