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color w:val="FF0000"/>
          <w:highlight w:val="none"/>
          <w:lang w:val="en-US" w:eastAsia="zh-CN"/>
        </w:rPr>
      </w:pPr>
      <w:r>
        <w:rPr>
          <w:highlight w:val="none"/>
        </w:rPr>
        <w:t xml:space="preserve">证券代码：000875         </w:t>
      </w:r>
      <w:r>
        <w:rPr>
          <w:rFonts w:hint="eastAsia"/>
          <w:highlight w:val="none"/>
        </w:rPr>
        <w:t xml:space="preserve">  </w:t>
      </w:r>
      <w:r>
        <w:rPr>
          <w:highlight w:val="none"/>
        </w:rPr>
        <w:t xml:space="preserve"> 证券简称：吉电股份       </w:t>
      </w:r>
      <w:r>
        <w:rPr>
          <w:rFonts w:hint="eastAsia"/>
          <w:highlight w:val="none"/>
        </w:rPr>
        <w:t xml:space="preserve"> </w:t>
      </w:r>
      <w:r>
        <w:rPr>
          <w:highlight w:val="none"/>
        </w:rPr>
        <w:t xml:space="preserve">      公告编号：20</w:t>
      </w:r>
      <w:r>
        <w:rPr>
          <w:rFonts w:hint="eastAsia"/>
          <w:highlight w:val="none"/>
        </w:rPr>
        <w:t>2</w:t>
      </w:r>
      <w:r>
        <w:rPr>
          <w:rFonts w:hint="eastAsia"/>
          <w:highlight w:val="none"/>
          <w:lang w:val="en-US" w:eastAsia="zh-CN"/>
        </w:rPr>
        <w:t>4</w:t>
      </w:r>
      <w:r>
        <w:rPr>
          <w:rFonts w:hint="eastAsia"/>
          <w:highlight w:val="none"/>
        </w:rPr>
        <w:t>-0</w:t>
      </w:r>
      <w:r>
        <w:rPr>
          <w:rFonts w:hint="eastAsia"/>
          <w:highlight w:val="none"/>
          <w:lang w:val="en-US" w:eastAsia="zh-CN"/>
        </w:rPr>
        <w:t>44</w:t>
      </w:r>
    </w:p>
    <w:p>
      <w:pPr>
        <w:rPr>
          <w:rFonts w:hint="eastAsia"/>
          <w:b/>
          <w:sz w:val="44"/>
          <w:szCs w:val="44"/>
          <w:highlight w:val="none"/>
        </w:rPr>
      </w:pPr>
      <w:r>
        <w:rPr>
          <w:color w:val="FF6600"/>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QcFs/WAAAACQEAAA8AAAAAAAAAAQAgAAAAIgAAAGRycy9kb3ducmV2LnhtbFBL&#10;AQIUABQAAAAIAIdO4kBTRW0n+AEAAPADAAAOAAAAAAAAAAEAIAAAACUBAABkcnMvZTJvRG9jLnht&#10;bFBLBQYAAAAABgAGAFkBAACPBQAAAAA=&#10;">
                <v:fill on="f" focussize="0,0"/>
                <v:stroke weight="4.5pt" color="#FF6600" linestyle="thinThick" joinstyle="round"/>
                <v:imagedata o:title=""/>
                <o:lock v:ext="edit" aspectratio="f"/>
              </v:line>
            </w:pict>
          </mc:Fallback>
        </mc:AlternateContent>
      </w:r>
    </w:p>
    <w:p>
      <w:pPr>
        <w:jc w:val="center"/>
        <w:rPr>
          <w:b/>
          <w:sz w:val="40"/>
          <w:szCs w:val="40"/>
          <w:highlight w:val="none"/>
        </w:rPr>
      </w:pPr>
      <w:r>
        <w:rPr>
          <w:rFonts w:hint="eastAsia"/>
          <w:b/>
          <w:sz w:val="40"/>
          <w:szCs w:val="40"/>
          <w:highlight w:val="none"/>
        </w:rPr>
        <w:t>吉林电力股份有限公司</w:t>
      </w:r>
    </w:p>
    <w:p>
      <w:pPr>
        <w:jc w:val="center"/>
        <w:rPr>
          <w:rFonts w:hint="eastAsia"/>
          <w:b/>
          <w:sz w:val="36"/>
          <w:szCs w:val="36"/>
          <w:highlight w:val="none"/>
        </w:rPr>
      </w:pPr>
      <w:r>
        <w:rPr>
          <w:rFonts w:hint="eastAsia"/>
          <w:b/>
          <w:sz w:val="40"/>
          <w:szCs w:val="40"/>
          <w:highlight w:val="none"/>
        </w:rPr>
        <w:t>关于参加网上集体业绩说明会的公告</w:t>
      </w:r>
    </w:p>
    <w:p>
      <w:pPr>
        <w:ind w:firstLine="562" w:firstLineChars="200"/>
        <w:rPr>
          <w:rFonts w:hAnsi="仿宋" w:eastAsia="仿宋"/>
          <w:b/>
          <w:sz w:val="28"/>
          <w:szCs w:val="28"/>
          <w:highlight w:val="none"/>
        </w:rPr>
      </w:pPr>
    </w:p>
    <w:p>
      <w:pPr>
        <w:ind w:firstLine="562" w:firstLineChars="200"/>
        <w:rPr>
          <w:rFonts w:eastAsia="仿宋"/>
          <w:b/>
          <w:sz w:val="28"/>
          <w:szCs w:val="28"/>
          <w:highlight w:val="none"/>
        </w:rPr>
      </w:pPr>
      <w:r>
        <w:rPr>
          <w:rFonts w:hAnsi="仿宋" w:eastAsia="仿宋"/>
          <w:b/>
          <w:sz w:val="28"/>
          <w:szCs w:val="28"/>
          <w:highlight w:val="none"/>
        </w:rPr>
        <w:t>本公司及</w:t>
      </w:r>
      <w:r>
        <w:rPr>
          <w:rFonts w:hint="eastAsia" w:hAnsi="仿宋" w:eastAsia="仿宋"/>
          <w:b/>
          <w:sz w:val="28"/>
          <w:szCs w:val="28"/>
          <w:highlight w:val="none"/>
        </w:rPr>
        <w:t>董</w:t>
      </w:r>
      <w:r>
        <w:rPr>
          <w:rFonts w:hAnsi="仿宋" w:eastAsia="仿宋"/>
          <w:b/>
          <w:sz w:val="28"/>
          <w:szCs w:val="28"/>
          <w:highlight w:val="none"/>
        </w:rPr>
        <w:t>事会全体成员保证公告内容的真实、准确、完整，没有虚假记载、误导性陈述或重大遗漏。</w:t>
      </w:r>
    </w:p>
    <w:p>
      <w:pPr>
        <w:numPr>
          <w:ilvl w:val="0"/>
          <w:numId w:val="0"/>
        </w:numPr>
        <w:ind w:firstLine="560" w:firstLineChars="200"/>
        <w:jc w:val="both"/>
        <w:rPr>
          <w:rFonts w:hint="eastAsia" w:ascii="Times New Roman" w:eastAsia="仿宋" w:cs="Times New Roman"/>
          <w:color w:val="auto"/>
          <w:kern w:val="2"/>
          <w:sz w:val="28"/>
          <w:szCs w:val="28"/>
          <w:highlight w:val="none"/>
          <w:lang w:val="en-US" w:eastAsia="zh-CN" w:bidi="ar-SA"/>
        </w:rPr>
      </w:pPr>
    </w:p>
    <w:p>
      <w:pPr>
        <w:numPr>
          <w:ilvl w:val="0"/>
          <w:numId w:val="0"/>
        </w:numPr>
        <w:ind w:firstLine="560" w:firstLineChars="200"/>
        <w:jc w:val="both"/>
        <w:rPr>
          <w:rFonts w:hint="eastAsia" w:ascii="Times New Roman" w:eastAsia="仿宋" w:cs="Times New Roman"/>
          <w:color w:val="auto"/>
          <w:kern w:val="2"/>
          <w:sz w:val="28"/>
          <w:szCs w:val="28"/>
          <w:highlight w:val="none"/>
          <w:lang w:val="en-US" w:eastAsia="zh-CN" w:bidi="ar-SA"/>
        </w:rPr>
      </w:pPr>
      <w:r>
        <w:rPr>
          <w:rFonts w:hint="eastAsia" w:ascii="Times New Roman" w:eastAsia="仿宋" w:cs="Times New Roman"/>
          <w:color w:val="auto"/>
          <w:kern w:val="2"/>
          <w:sz w:val="28"/>
          <w:szCs w:val="28"/>
          <w:highlight w:val="none"/>
          <w:lang w:val="en-US" w:eastAsia="zh-CN" w:bidi="ar-SA"/>
        </w:rPr>
        <w:t>为进一步加强与投资者的互动交流，吉林电力股份有限公司（以下简称“公司”）将参加由吉林省证券业协会、深圳市全景网络有限公司共同举办的“2024年吉林辖区上市公司网上集体业绩说明会”，现将有关事项公告如下：</w:t>
      </w:r>
    </w:p>
    <w:p>
      <w:pPr>
        <w:numPr>
          <w:ilvl w:val="0"/>
          <w:numId w:val="0"/>
        </w:numPr>
        <w:ind w:firstLine="560" w:firstLineChars="200"/>
        <w:jc w:val="both"/>
        <w:rPr>
          <w:rFonts w:hint="eastAsia" w:ascii="Times New Roman" w:eastAsia="仿宋" w:cs="Times New Roman"/>
          <w:color w:val="auto"/>
          <w:kern w:val="2"/>
          <w:sz w:val="28"/>
          <w:szCs w:val="28"/>
          <w:highlight w:val="none"/>
          <w:lang w:val="en-US" w:eastAsia="zh-CN" w:bidi="ar-SA"/>
        </w:rPr>
      </w:pPr>
      <w:r>
        <w:rPr>
          <w:rFonts w:hint="eastAsia" w:ascii="Times New Roman" w:eastAsia="仿宋" w:cs="Times New Roman"/>
          <w:color w:val="auto"/>
          <w:kern w:val="2"/>
          <w:sz w:val="28"/>
          <w:szCs w:val="28"/>
          <w:highlight w:val="none"/>
          <w:lang w:val="en-US" w:eastAsia="zh-CN" w:bidi="ar-SA"/>
        </w:rPr>
        <w:t>本次集体业绩说明会将通过深圳市全景网络有限公司提供的互联网平台举行，投资者可以登录全景网“投资者关系互动平台”（http://ir.p5w.net）参与公司业绩说明会</w:t>
      </w:r>
      <w:r>
        <w:rPr>
          <w:rFonts w:hint="eastAsia" w:eastAsia="仿宋" w:cs="Times New Roman"/>
          <w:color w:val="auto"/>
          <w:kern w:val="2"/>
          <w:sz w:val="28"/>
          <w:szCs w:val="28"/>
          <w:highlight w:val="none"/>
          <w:lang w:val="en-US" w:eastAsia="zh-CN" w:bidi="ar-SA"/>
        </w:rPr>
        <w:t>，</w:t>
      </w:r>
      <w:r>
        <w:rPr>
          <w:rFonts w:hint="eastAsia" w:ascii="Times New Roman" w:eastAsia="仿宋" w:cs="Times New Roman"/>
          <w:color w:val="auto"/>
          <w:kern w:val="2"/>
          <w:sz w:val="28"/>
          <w:szCs w:val="28"/>
          <w:highlight w:val="none"/>
          <w:lang w:val="en-US" w:eastAsia="zh-CN" w:bidi="ar-SA"/>
        </w:rPr>
        <w:t>时间为2024年5月29日（周三）15:00—16:30。</w:t>
      </w:r>
    </w:p>
    <w:p>
      <w:pPr>
        <w:pStyle w:val="12"/>
        <w:spacing w:line="560" w:lineRule="exact"/>
        <w:ind w:firstLine="560" w:firstLineChars="200"/>
        <w:rPr>
          <w:rFonts w:ascii="Times New Roman" w:eastAsia="仿宋" w:cs="Times New Roman"/>
          <w:color w:val="auto"/>
          <w:kern w:val="2"/>
          <w:sz w:val="28"/>
          <w:szCs w:val="28"/>
          <w:highlight w:val="none"/>
        </w:rPr>
      </w:pPr>
      <w:r>
        <w:rPr>
          <w:rFonts w:hint="eastAsia" w:ascii="Times New Roman" w:eastAsia="仿宋" w:cs="Times New Roman"/>
          <w:color w:val="auto"/>
          <w:kern w:val="2"/>
          <w:sz w:val="28"/>
          <w:szCs w:val="28"/>
          <w:highlight w:val="none"/>
          <w:lang w:val="en-US" w:eastAsia="zh-CN" w:bidi="ar-SA"/>
        </w:rPr>
        <w:t>届时公司总经理牛国君先生、独立董事潘桂岗先生、总会计师谢晶先生、董事会秘书刘爽先生将通过网络在线问答互动的形式，与投资者就2023年经营业绩等投资者关注的问题进行交流。期间，公司高管将全程在线，实时回答投资者的提问。投资者可于2024年5月27日（星期一）17：00前访问https://ir.p5w.net/zj/，</w:t>
      </w:r>
      <w:bookmarkStart w:id="0" w:name="_GoBack"/>
      <w:bookmarkEnd w:id="0"/>
      <w:r>
        <w:rPr>
          <w:rFonts w:hint="eastAsia" w:ascii="Times New Roman" w:eastAsia="仿宋" w:cs="Times New Roman"/>
          <w:color w:val="auto"/>
          <w:kern w:val="2"/>
          <w:sz w:val="28"/>
          <w:szCs w:val="28"/>
          <w:highlight w:val="none"/>
          <w:lang w:val="en-US" w:eastAsia="zh-CN" w:bidi="ar-SA"/>
        </w:rPr>
        <w:t>或扫描下方二维码，进入问题征集专题页面，</w:t>
      </w:r>
      <w:r>
        <w:rPr>
          <w:rFonts w:hint="eastAsia" w:ascii="Times New Roman" w:eastAsia="仿宋" w:cs="Times New Roman"/>
          <w:color w:val="auto"/>
          <w:kern w:val="2"/>
          <w:sz w:val="28"/>
          <w:szCs w:val="28"/>
          <w:highlight w:val="none"/>
        </w:rPr>
        <w:t>欢迎广大投资者积极参与。</w:t>
      </w:r>
    </w:p>
    <w:p>
      <w:pPr>
        <w:numPr>
          <w:ilvl w:val="0"/>
          <w:numId w:val="0"/>
        </w:numPr>
        <w:jc w:val="center"/>
      </w:pPr>
    </w:p>
    <w:p>
      <w:pPr>
        <w:pStyle w:val="12"/>
        <w:spacing w:line="560" w:lineRule="exact"/>
        <w:jc w:val="center"/>
        <w:rPr>
          <w:rFonts w:hint="eastAsia" w:ascii="Times New Roman" w:eastAsia="仿宋" w:cs="Times New Roman"/>
          <w:color w:val="auto"/>
          <w:kern w:val="2"/>
          <w:sz w:val="28"/>
          <w:szCs w:val="28"/>
          <w:highlight w:val="none"/>
        </w:rPr>
      </w:pPr>
      <w:r>
        <w:drawing>
          <wp:anchor distT="0" distB="0" distL="114300" distR="114300" simplePos="0" relativeHeight="251660288" behindDoc="0" locked="0" layoutInCell="1" allowOverlap="1">
            <wp:simplePos x="0" y="0"/>
            <wp:positionH relativeFrom="column">
              <wp:posOffset>1468755</wp:posOffset>
            </wp:positionH>
            <wp:positionV relativeFrom="paragraph">
              <wp:posOffset>-11430</wp:posOffset>
            </wp:positionV>
            <wp:extent cx="2209800" cy="2209800"/>
            <wp:effectExtent l="0" t="0" r="0"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2209800" cy="2209800"/>
                    </a:xfrm>
                    <a:prstGeom prst="rect">
                      <a:avLst/>
                    </a:prstGeom>
                    <a:noFill/>
                    <a:ln>
                      <a:noFill/>
                    </a:ln>
                  </pic:spPr>
                </pic:pic>
              </a:graphicData>
            </a:graphic>
          </wp:anchor>
        </w:drawing>
      </w:r>
    </w:p>
    <w:p>
      <w:pPr>
        <w:pStyle w:val="12"/>
        <w:spacing w:line="560" w:lineRule="exact"/>
        <w:jc w:val="center"/>
        <w:rPr>
          <w:rFonts w:hint="eastAsia" w:ascii="Times New Roman" w:eastAsia="仿宋" w:cs="Times New Roman"/>
          <w:color w:val="auto"/>
          <w:kern w:val="2"/>
          <w:sz w:val="28"/>
          <w:szCs w:val="28"/>
          <w:highlight w:val="none"/>
        </w:rPr>
      </w:pPr>
    </w:p>
    <w:p>
      <w:pPr>
        <w:pStyle w:val="12"/>
        <w:spacing w:line="560" w:lineRule="exact"/>
        <w:jc w:val="center"/>
        <w:rPr>
          <w:rFonts w:hint="eastAsia" w:ascii="Times New Roman" w:eastAsia="仿宋" w:cs="Times New Roman"/>
          <w:color w:val="auto"/>
          <w:kern w:val="2"/>
          <w:sz w:val="28"/>
          <w:szCs w:val="28"/>
          <w:highlight w:val="none"/>
        </w:rPr>
      </w:pPr>
    </w:p>
    <w:p>
      <w:pPr>
        <w:pStyle w:val="12"/>
        <w:spacing w:line="560" w:lineRule="exact"/>
        <w:jc w:val="center"/>
        <w:rPr>
          <w:rFonts w:hint="eastAsia" w:ascii="Times New Roman" w:eastAsia="仿宋" w:cs="Times New Roman"/>
          <w:color w:val="auto"/>
          <w:kern w:val="2"/>
          <w:sz w:val="28"/>
          <w:szCs w:val="28"/>
          <w:highlight w:val="none"/>
        </w:rPr>
      </w:pPr>
    </w:p>
    <w:p>
      <w:pPr>
        <w:pStyle w:val="12"/>
        <w:spacing w:line="560" w:lineRule="exact"/>
        <w:jc w:val="center"/>
        <w:rPr>
          <w:rFonts w:hint="eastAsia" w:ascii="Times New Roman" w:eastAsia="仿宋" w:cs="Times New Roman"/>
          <w:color w:val="auto"/>
          <w:kern w:val="2"/>
          <w:sz w:val="28"/>
          <w:szCs w:val="28"/>
          <w:highlight w:val="none"/>
        </w:rPr>
      </w:pPr>
    </w:p>
    <w:p>
      <w:pPr>
        <w:pStyle w:val="12"/>
        <w:spacing w:line="560" w:lineRule="exact"/>
        <w:jc w:val="center"/>
        <w:rPr>
          <w:rFonts w:hint="eastAsia" w:ascii="Times New Roman" w:eastAsia="仿宋" w:cs="Times New Roman"/>
          <w:color w:val="auto"/>
          <w:kern w:val="2"/>
          <w:sz w:val="28"/>
          <w:szCs w:val="28"/>
          <w:highlight w:val="none"/>
        </w:rPr>
      </w:pPr>
    </w:p>
    <w:p>
      <w:pPr>
        <w:pStyle w:val="12"/>
        <w:spacing w:line="560" w:lineRule="exact"/>
        <w:jc w:val="center"/>
        <w:rPr>
          <w:rFonts w:hint="eastAsia" w:ascii="Times New Roman" w:eastAsia="仿宋" w:cs="Times New Roman"/>
          <w:color w:val="auto"/>
          <w:kern w:val="2"/>
          <w:sz w:val="28"/>
          <w:szCs w:val="28"/>
          <w:highlight w:val="none"/>
        </w:rPr>
      </w:pPr>
    </w:p>
    <w:p>
      <w:pPr>
        <w:pStyle w:val="12"/>
        <w:spacing w:line="560" w:lineRule="exact"/>
        <w:jc w:val="center"/>
        <w:rPr>
          <w:rFonts w:hint="eastAsia" w:ascii="Times New Roman" w:eastAsia="仿宋" w:cs="Times New Roman"/>
          <w:color w:val="auto"/>
          <w:kern w:val="2"/>
          <w:sz w:val="28"/>
          <w:szCs w:val="28"/>
          <w:highlight w:val="none"/>
        </w:rPr>
      </w:pPr>
      <w:r>
        <w:rPr>
          <w:rFonts w:hint="eastAsia" w:ascii="Times New Roman" w:eastAsia="仿宋" w:cs="Times New Roman"/>
          <w:color w:val="auto"/>
          <w:kern w:val="2"/>
          <w:sz w:val="28"/>
          <w:szCs w:val="28"/>
          <w:highlight w:val="none"/>
        </w:rPr>
        <w:t>（问题征集专题页面二维码，扫码自动匹配移动端）</w:t>
      </w:r>
    </w:p>
    <w:p>
      <w:pPr>
        <w:pStyle w:val="12"/>
        <w:spacing w:line="560" w:lineRule="exact"/>
        <w:ind w:firstLine="560" w:firstLineChars="200"/>
        <w:rPr>
          <w:rFonts w:ascii="Times New Roman" w:eastAsia="仿宋" w:cs="Times New Roman"/>
          <w:color w:val="auto"/>
          <w:kern w:val="2"/>
          <w:sz w:val="28"/>
          <w:szCs w:val="28"/>
          <w:highlight w:val="none"/>
        </w:rPr>
      </w:pPr>
    </w:p>
    <w:p>
      <w:pPr>
        <w:pStyle w:val="12"/>
        <w:spacing w:line="560" w:lineRule="exact"/>
        <w:ind w:firstLine="560" w:firstLineChars="200"/>
        <w:rPr>
          <w:rFonts w:ascii="Times New Roman" w:eastAsia="仿宋" w:cs="Times New Roman"/>
          <w:color w:val="auto"/>
          <w:kern w:val="2"/>
          <w:sz w:val="28"/>
          <w:szCs w:val="28"/>
          <w:highlight w:val="none"/>
        </w:rPr>
      </w:pPr>
      <w:r>
        <w:rPr>
          <w:rFonts w:ascii="Times New Roman" w:eastAsia="仿宋" w:cs="Times New Roman"/>
          <w:color w:val="auto"/>
          <w:kern w:val="2"/>
          <w:sz w:val="28"/>
          <w:szCs w:val="28"/>
          <w:highlight w:val="none"/>
        </w:rPr>
        <w:t>特此公告。</w:t>
      </w:r>
    </w:p>
    <w:p>
      <w:pPr>
        <w:pStyle w:val="12"/>
        <w:spacing w:line="560" w:lineRule="exact"/>
        <w:ind w:firstLine="560" w:firstLineChars="200"/>
        <w:rPr>
          <w:rFonts w:ascii="Times New Roman" w:eastAsia="仿宋" w:cs="Times New Roman"/>
          <w:color w:val="auto"/>
          <w:kern w:val="2"/>
          <w:sz w:val="28"/>
          <w:szCs w:val="28"/>
          <w:highlight w:val="none"/>
        </w:rPr>
      </w:pPr>
    </w:p>
    <w:p>
      <w:pPr>
        <w:pStyle w:val="12"/>
        <w:spacing w:line="560" w:lineRule="exact"/>
        <w:ind w:firstLine="560" w:firstLineChars="200"/>
        <w:rPr>
          <w:rFonts w:ascii="Times New Roman" w:eastAsia="仿宋" w:cs="Times New Roman"/>
          <w:color w:val="auto"/>
          <w:kern w:val="2"/>
          <w:sz w:val="28"/>
          <w:szCs w:val="28"/>
          <w:highlight w:val="none"/>
        </w:rPr>
      </w:pPr>
    </w:p>
    <w:p>
      <w:pPr>
        <w:pStyle w:val="12"/>
        <w:spacing w:line="560" w:lineRule="exact"/>
        <w:ind w:firstLine="480" w:firstLineChars="200"/>
        <w:rPr>
          <w:rFonts w:ascii="仿宋" w:hAnsi="仿宋" w:eastAsia="仿宋"/>
          <w:sz w:val="28"/>
          <w:szCs w:val="28"/>
          <w:highlight w:val="none"/>
        </w:rPr>
      </w:pPr>
      <w:r>
        <w:rPr>
          <w:rFonts w:cs="Times New Roman"/>
          <w:color w:val="auto"/>
          <w:kern w:val="2"/>
          <w:highlight w:val="none"/>
        </w:rPr>
        <w:t xml:space="preserve">            </w:t>
      </w:r>
      <w:r>
        <w:rPr>
          <w:highlight w:val="none"/>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ascii="仿宋" w:hAnsi="仿宋" w:eastAsia="仿宋"/>
          <w:sz w:val="28"/>
          <w:szCs w:val="28"/>
          <w:highlight w:val="none"/>
        </w:rPr>
        <w:t>吉林电力股份有限公司</w:t>
      </w:r>
      <w:r>
        <w:rPr>
          <w:rFonts w:hint="eastAsia" w:ascii="仿宋" w:hAnsi="仿宋" w:eastAsia="仿宋"/>
          <w:sz w:val="28"/>
          <w:szCs w:val="28"/>
          <w:highlight w:val="none"/>
        </w:rPr>
        <w:t>董</w:t>
      </w:r>
      <w:r>
        <w:rPr>
          <w:rFonts w:ascii="仿宋" w:hAnsi="仿宋" w:eastAsia="仿宋"/>
          <w:sz w:val="28"/>
          <w:szCs w:val="28"/>
          <w:highlight w:val="none"/>
        </w:rPr>
        <w:t>事会</w:t>
      </w:r>
    </w:p>
    <w:p>
      <w:pPr>
        <w:tabs>
          <w:tab w:val="left" w:pos="4690"/>
          <w:tab w:val="right" w:pos="8026"/>
        </w:tabs>
        <w:spacing w:line="560" w:lineRule="exact"/>
        <w:jc w:val="left"/>
        <w:rPr>
          <w:rFonts w:eastAsia="仿宋"/>
          <w:sz w:val="28"/>
          <w:szCs w:val="28"/>
          <w:highlight w:val="none"/>
        </w:rPr>
      </w:pPr>
      <w:r>
        <w:rPr>
          <w:rFonts w:ascii="仿宋" w:hAnsi="仿宋" w:eastAsia="仿宋"/>
          <w:sz w:val="28"/>
          <w:szCs w:val="28"/>
          <w:highlight w:val="none"/>
        </w:rPr>
        <w:tab/>
      </w:r>
      <w:r>
        <w:rPr>
          <w:rFonts w:ascii="仿宋" w:hAnsi="仿宋" w:eastAsia="仿宋"/>
          <w:sz w:val="28"/>
          <w:szCs w:val="28"/>
          <w:highlight w:val="none"/>
        </w:rPr>
        <w:t>二○二</w:t>
      </w:r>
      <w:r>
        <w:rPr>
          <w:rFonts w:hint="eastAsia" w:ascii="仿宋" w:hAnsi="仿宋" w:eastAsia="仿宋"/>
          <w:sz w:val="28"/>
          <w:szCs w:val="28"/>
          <w:highlight w:val="none"/>
          <w:lang w:val="en-US" w:eastAsia="zh-CN"/>
        </w:rPr>
        <w:t>四</w:t>
      </w:r>
      <w:r>
        <w:rPr>
          <w:rFonts w:ascii="仿宋" w:hAnsi="仿宋" w:eastAsia="仿宋"/>
          <w:sz w:val="28"/>
          <w:szCs w:val="28"/>
          <w:highlight w:val="none"/>
        </w:rPr>
        <w:t>年</w:t>
      </w:r>
      <w:r>
        <w:rPr>
          <w:rFonts w:hint="eastAsia" w:ascii="仿宋" w:hAnsi="仿宋" w:eastAsia="仿宋"/>
          <w:sz w:val="28"/>
          <w:szCs w:val="28"/>
          <w:highlight w:val="none"/>
          <w:lang w:val="en-US" w:eastAsia="zh-CN"/>
        </w:rPr>
        <w:t>五</w:t>
      </w:r>
      <w:r>
        <w:rPr>
          <w:rFonts w:ascii="仿宋" w:hAnsi="仿宋" w:eastAsia="仿宋"/>
          <w:sz w:val="28"/>
          <w:szCs w:val="28"/>
          <w:highlight w:val="none"/>
        </w:rPr>
        <w:t>月</w:t>
      </w:r>
      <w:r>
        <w:rPr>
          <w:rFonts w:hint="eastAsia" w:ascii="仿宋" w:hAnsi="仿宋" w:eastAsia="仿宋"/>
          <w:sz w:val="28"/>
          <w:szCs w:val="28"/>
          <w:highlight w:val="none"/>
          <w:lang w:val="en-US" w:eastAsia="zh-CN"/>
        </w:rPr>
        <w:t>二十一</w:t>
      </w:r>
      <w:r>
        <w:rPr>
          <w:rFonts w:ascii="仿宋" w:hAnsi="仿宋" w:eastAsia="仿宋"/>
          <w:sz w:val="28"/>
          <w:szCs w:val="28"/>
          <w:highlight w:val="none"/>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aJFr4&#10;6QEAAMsDAAAOAAAAAAAAAAEAIAAAACIBAABkcnMvZTJvRG9jLnhtbFBLBQYAAAAABgAGAFkBAAB9&#10;BQ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1161C"/>
    <w:rsid w:val="000648D4"/>
    <w:rsid w:val="00072FA6"/>
    <w:rsid w:val="00084D91"/>
    <w:rsid w:val="000A3C4A"/>
    <w:rsid w:val="000B5D56"/>
    <w:rsid w:val="000C5011"/>
    <w:rsid w:val="000C666C"/>
    <w:rsid w:val="000F71C6"/>
    <w:rsid w:val="000F734A"/>
    <w:rsid w:val="00134B4B"/>
    <w:rsid w:val="00157C41"/>
    <w:rsid w:val="001B3CED"/>
    <w:rsid w:val="001D70F8"/>
    <w:rsid w:val="00223111"/>
    <w:rsid w:val="002959AD"/>
    <w:rsid w:val="00296099"/>
    <w:rsid w:val="002A5013"/>
    <w:rsid w:val="0033452D"/>
    <w:rsid w:val="00374277"/>
    <w:rsid w:val="00375804"/>
    <w:rsid w:val="00391DAA"/>
    <w:rsid w:val="0041097A"/>
    <w:rsid w:val="00420423"/>
    <w:rsid w:val="00435FF7"/>
    <w:rsid w:val="004828D3"/>
    <w:rsid w:val="00482ACC"/>
    <w:rsid w:val="004978EF"/>
    <w:rsid w:val="004B6DAC"/>
    <w:rsid w:val="004C0534"/>
    <w:rsid w:val="004C352C"/>
    <w:rsid w:val="004C6BC5"/>
    <w:rsid w:val="004E2C25"/>
    <w:rsid w:val="004E610F"/>
    <w:rsid w:val="0052248F"/>
    <w:rsid w:val="005307C9"/>
    <w:rsid w:val="005522CD"/>
    <w:rsid w:val="00553855"/>
    <w:rsid w:val="00580A54"/>
    <w:rsid w:val="005D22DD"/>
    <w:rsid w:val="005D77D5"/>
    <w:rsid w:val="005F0476"/>
    <w:rsid w:val="005F2F6B"/>
    <w:rsid w:val="005F6865"/>
    <w:rsid w:val="006378F8"/>
    <w:rsid w:val="00642A5A"/>
    <w:rsid w:val="006648B4"/>
    <w:rsid w:val="0068090C"/>
    <w:rsid w:val="006975D6"/>
    <w:rsid w:val="006B3F7D"/>
    <w:rsid w:val="006C150F"/>
    <w:rsid w:val="00714D60"/>
    <w:rsid w:val="00773A4B"/>
    <w:rsid w:val="007D1C7B"/>
    <w:rsid w:val="007D704B"/>
    <w:rsid w:val="007F23B7"/>
    <w:rsid w:val="00806C3C"/>
    <w:rsid w:val="008150BB"/>
    <w:rsid w:val="0083706E"/>
    <w:rsid w:val="00852A25"/>
    <w:rsid w:val="0085639C"/>
    <w:rsid w:val="008A2652"/>
    <w:rsid w:val="008B1C3F"/>
    <w:rsid w:val="008B4D38"/>
    <w:rsid w:val="008C7CDA"/>
    <w:rsid w:val="009124C5"/>
    <w:rsid w:val="00927840"/>
    <w:rsid w:val="00965EFA"/>
    <w:rsid w:val="0097169A"/>
    <w:rsid w:val="00971EA1"/>
    <w:rsid w:val="009902D5"/>
    <w:rsid w:val="009B2060"/>
    <w:rsid w:val="009E4525"/>
    <w:rsid w:val="00A32597"/>
    <w:rsid w:val="00A646E5"/>
    <w:rsid w:val="00AC14D3"/>
    <w:rsid w:val="00AD778E"/>
    <w:rsid w:val="00AE69E0"/>
    <w:rsid w:val="00AF351C"/>
    <w:rsid w:val="00B128BC"/>
    <w:rsid w:val="00B21095"/>
    <w:rsid w:val="00B53BAF"/>
    <w:rsid w:val="00BC0CAB"/>
    <w:rsid w:val="00BC1704"/>
    <w:rsid w:val="00BE5F88"/>
    <w:rsid w:val="00BE77B6"/>
    <w:rsid w:val="00BF4EDD"/>
    <w:rsid w:val="00C029BA"/>
    <w:rsid w:val="00C46F5F"/>
    <w:rsid w:val="00CA2548"/>
    <w:rsid w:val="00CF57DB"/>
    <w:rsid w:val="00D06248"/>
    <w:rsid w:val="00D07125"/>
    <w:rsid w:val="00D61B0A"/>
    <w:rsid w:val="00D75838"/>
    <w:rsid w:val="00D7665E"/>
    <w:rsid w:val="00D86D8F"/>
    <w:rsid w:val="00D87228"/>
    <w:rsid w:val="00DB3F13"/>
    <w:rsid w:val="00DC0181"/>
    <w:rsid w:val="00DC5427"/>
    <w:rsid w:val="00DD23E8"/>
    <w:rsid w:val="00DD6770"/>
    <w:rsid w:val="00E24F38"/>
    <w:rsid w:val="00E322E8"/>
    <w:rsid w:val="00E66034"/>
    <w:rsid w:val="00E867D9"/>
    <w:rsid w:val="00E87057"/>
    <w:rsid w:val="00E91672"/>
    <w:rsid w:val="00EA1FDA"/>
    <w:rsid w:val="00EC38C2"/>
    <w:rsid w:val="00EC40D1"/>
    <w:rsid w:val="00EE0DB1"/>
    <w:rsid w:val="00EE16C1"/>
    <w:rsid w:val="00EF5FD8"/>
    <w:rsid w:val="00F04D26"/>
    <w:rsid w:val="00F34F1E"/>
    <w:rsid w:val="00F41469"/>
    <w:rsid w:val="00F9275B"/>
    <w:rsid w:val="00FC7CDD"/>
    <w:rsid w:val="00FD233C"/>
    <w:rsid w:val="01515FF1"/>
    <w:rsid w:val="01886592"/>
    <w:rsid w:val="024E3967"/>
    <w:rsid w:val="06374443"/>
    <w:rsid w:val="09841289"/>
    <w:rsid w:val="10E6346F"/>
    <w:rsid w:val="117A2EF1"/>
    <w:rsid w:val="14C145FF"/>
    <w:rsid w:val="17267534"/>
    <w:rsid w:val="20350A51"/>
    <w:rsid w:val="21837E63"/>
    <w:rsid w:val="265B4D6D"/>
    <w:rsid w:val="2A7A3921"/>
    <w:rsid w:val="2CE1604E"/>
    <w:rsid w:val="3456789A"/>
    <w:rsid w:val="39F85F98"/>
    <w:rsid w:val="3AE67273"/>
    <w:rsid w:val="3B46061D"/>
    <w:rsid w:val="4099201E"/>
    <w:rsid w:val="427146CA"/>
    <w:rsid w:val="47211E55"/>
    <w:rsid w:val="47566D17"/>
    <w:rsid w:val="4FB10B24"/>
    <w:rsid w:val="51925C52"/>
    <w:rsid w:val="55C41309"/>
    <w:rsid w:val="587E152C"/>
    <w:rsid w:val="59DF5830"/>
    <w:rsid w:val="5D503B6B"/>
    <w:rsid w:val="606E0716"/>
    <w:rsid w:val="61020A75"/>
    <w:rsid w:val="62832A94"/>
    <w:rsid w:val="63383BB4"/>
    <w:rsid w:val="635975A8"/>
    <w:rsid w:val="671F486C"/>
    <w:rsid w:val="6D207054"/>
    <w:rsid w:val="71BC0CF6"/>
    <w:rsid w:val="750710DA"/>
    <w:rsid w:val="76DA0AE2"/>
    <w:rsid w:val="77456B25"/>
    <w:rsid w:val="79885928"/>
    <w:rsid w:val="7FFD14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360" w:lineRule="auto"/>
      <w:jc w:val="left"/>
    </w:pPr>
    <w:rPr>
      <w:rFonts w:ascii="宋体" w:hAnsi="宋体" w:eastAsia="仿宋_GB2312" w:cs="宋体"/>
      <w:kern w:val="0"/>
      <w:sz w:val="24"/>
      <w:lang w:bidi="bn-IN"/>
    </w:rPr>
  </w:style>
  <w:style w:type="character" w:styleId="9">
    <w:name w:val="page number"/>
    <w:basedOn w:val="8"/>
    <w:uiPriority w:val="0"/>
  </w:style>
  <w:style w:type="character" w:customStyle="1" w:styleId="10">
    <w:name w:val="da1"/>
    <w:uiPriority w:val="0"/>
    <w:rPr>
      <w:rFonts w:hint="default" w:ascii="_x000B__x000C_" w:hAnsi="_x000B__x000C_"/>
      <w:color w:val="000000"/>
      <w:spacing w:val="360"/>
      <w:sz w:val="21"/>
      <w:szCs w:val="21"/>
      <w:u w:val="none"/>
    </w:rPr>
  </w:style>
  <w:style w:type="paragraph" w:customStyle="1" w:styleId="11">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Char Char Char Char"/>
    <w:basedOn w:val="1"/>
    <w:uiPriority w:val="0"/>
    <w:rPr>
      <w:szCs w:val="21"/>
    </w:rPr>
  </w:style>
  <w:style w:type="paragraph" w:customStyle="1" w:styleId="14">
    <w:name w:val="_Style 4"/>
    <w:basedOn w:val="1"/>
    <w:uiPriority w:val="0"/>
    <w:pPr>
      <w:pageBreakBefore/>
      <w:tabs>
        <w:tab w:val="left" w:pos="432"/>
      </w:tabs>
      <w:ind w:left="432" w:hanging="432"/>
    </w:pPr>
    <w:rPr>
      <w:rFonts w:ascii="Tahoma" w:hAnsi="Tahoma"/>
      <w:sz w:val="24"/>
      <w:szCs w:val="20"/>
    </w:rPr>
  </w:style>
  <w:style w:type="paragraph" w:customStyle="1" w:styleId="15">
    <w:name w:val=" Char1 Char Char Char Char Char Char Char Char Char Char Char"/>
    <w:basedOn w:val="1"/>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Pages>
  <Words>574</Words>
  <Characters>647</Characters>
  <Lines>4</Lines>
  <Paragraphs>1</Paragraphs>
  <TotalTime>65</TotalTime>
  <ScaleCrop>false</ScaleCrop>
  <LinksUpToDate>false</LinksUpToDate>
  <CharactersWithSpaces>704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2021-05-10T06:20:00Z</cp:lastPrinted>
  <dcterms:modified xsi:type="dcterms:W3CDTF">2024-05-21T07:43:18Z</dcterms:modified>
  <dc:title>证券代码：000875            证券简称：吉电股份              公告编号：2014-062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1DF45766CD41404E9A13E910B620E7A4_13</vt:lpwstr>
  </property>
</Properties>
</file>