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ind w:left="0"/>
        <w:textAlignment w:val="auto"/>
        <w:rPr>
          <w:rFonts w:hint="default" w:ascii="Times New Roman" w:hAnsi="Times New Roman" w:eastAsia="宋体" w:cs="Times New Roman"/>
          <w:szCs w:val="22"/>
          <w:highlight w:val="none"/>
          <w:lang w:val="en-US" w:eastAsia="zh-CN"/>
        </w:rPr>
      </w:pPr>
      <w:bookmarkStart w:id="0" w:name="_GoBack"/>
      <w:bookmarkEnd w:id="0"/>
      <w:r>
        <w:rPr>
          <w:rFonts w:ascii="Times New Roman" w:hAnsi="Times New Roman" w:eastAsia="宋体" w:cs="Times New Roman"/>
          <w:szCs w:val="22"/>
          <w:highlight w:val="none"/>
        </w:rPr>
        <w:t xml:space="preserve">证券代码：000875         </w:t>
      </w:r>
      <w:r>
        <w:rPr>
          <w:rFonts w:hint="eastAsia" w:ascii="Times New Roman" w:hAnsi="Times New Roman" w:eastAsia="宋体" w:cs="Times New Roman"/>
          <w:szCs w:val="22"/>
          <w:highlight w:val="none"/>
        </w:rPr>
        <w:t xml:space="preserve">  </w:t>
      </w:r>
      <w:r>
        <w:rPr>
          <w:rFonts w:ascii="Times New Roman" w:hAnsi="Times New Roman" w:eastAsia="宋体" w:cs="Times New Roman"/>
          <w:szCs w:val="22"/>
          <w:highlight w:val="none"/>
        </w:rPr>
        <w:t xml:space="preserve"> 证券简称：吉电股份       </w:t>
      </w:r>
      <w:r>
        <w:rPr>
          <w:rFonts w:hint="eastAsia" w:ascii="Times New Roman" w:hAnsi="Times New Roman" w:eastAsia="宋体" w:cs="Times New Roman"/>
          <w:szCs w:val="22"/>
          <w:highlight w:val="none"/>
        </w:rPr>
        <w:t xml:space="preserve"> </w:t>
      </w:r>
      <w:r>
        <w:rPr>
          <w:rFonts w:ascii="Times New Roman" w:hAnsi="Times New Roman" w:eastAsia="宋体" w:cs="Times New Roman"/>
          <w:szCs w:val="22"/>
          <w:highlight w:val="none"/>
        </w:rPr>
        <w:t xml:space="preserve">      公告编号：20</w:t>
      </w:r>
      <w:r>
        <w:rPr>
          <w:rFonts w:hint="eastAsia" w:ascii="Times New Roman" w:hAnsi="Times New Roman" w:eastAsia="宋体" w:cs="Times New Roman"/>
          <w:szCs w:val="22"/>
          <w:highlight w:val="none"/>
        </w:rPr>
        <w:t>2</w:t>
      </w:r>
      <w:r>
        <w:rPr>
          <w:rFonts w:hint="eastAsia" w:ascii="Times New Roman" w:hAnsi="Times New Roman" w:cs="Times New Roman"/>
          <w:szCs w:val="22"/>
          <w:highlight w:val="none"/>
          <w:lang w:val="en-US" w:eastAsia="zh-CN"/>
        </w:rPr>
        <w:t>4</w:t>
      </w:r>
      <w:r>
        <w:rPr>
          <w:rFonts w:hint="eastAsia" w:ascii="Times New Roman" w:hAnsi="Times New Roman" w:eastAsia="宋体" w:cs="Times New Roman"/>
          <w:szCs w:val="22"/>
          <w:highlight w:val="none"/>
        </w:rPr>
        <w:t>-</w:t>
      </w:r>
      <w:r>
        <w:rPr>
          <w:rFonts w:hint="eastAsia" w:ascii="Times New Roman" w:hAnsi="Times New Roman" w:cs="Times New Roman"/>
          <w:szCs w:val="22"/>
          <w:highlight w:val="none"/>
          <w:lang w:val="en-US" w:eastAsia="zh-CN"/>
        </w:rPr>
        <w:t>030</w:t>
      </w:r>
    </w:p>
    <w:p>
      <w:pPr>
        <w:keepNext w:val="0"/>
        <w:keepLines w:val="0"/>
        <w:pageBreakBefore w:val="0"/>
        <w:kinsoku/>
        <w:wordWrap/>
        <w:overflowPunct/>
        <w:topLinePunct w:val="0"/>
        <w:bidi w:val="0"/>
        <w:snapToGrid/>
        <w:spacing w:line="560" w:lineRule="exact"/>
        <w:ind w:left="0"/>
        <w:jc w:val="both"/>
        <w:textAlignment w:val="auto"/>
        <w:rPr>
          <w:highlight w:val="none"/>
        </w:rPr>
      </w:pPr>
      <w:r>
        <w:rPr>
          <w:rFonts w:ascii="Times New Roman" w:hAnsi="Times New Roman"/>
          <w:color w:val="FF6600"/>
          <w:highlight w:val="none"/>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17780</wp:posOffset>
                </wp:positionV>
                <wp:extent cx="5417820" cy="22860"/>
                <wp:effectExtent l="0" t="28575" r="7620" b="40005"/>
                <wp:wrapNone/>
                <wp:docPr id="1" name="直接连接符 1"/>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4pt;margin-top:1.4pt;height:1.8pt;width:426.6pt;z-index:251659264;mso-width-relative:page;mso-height-relative:page;" filled="f" stroked="t" coordsize="21600,21600" o:gfxdata="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ze3l1AAAAAcBAAAPAAAAAAAAAAEAIAAAACIAAABk&#10;cnMvZG93bnJldi54bWxQSwECFAAUAAAACACHTuJAlzls4QoCAAAHBAAADgAAAAAAAAABACAAAAAj&#10;AQAAZHJzL2Uyb0RvYy54bWxQSwUGAAAAAAYABgBZAQAAnwUAAAAA&#10;">
                <v:fill on="f" focussize="0,0"/>
                <v:stroke weight="4.5pt" color="#FF6600" linestyle="thinThick" joinstyle="round"/>
                <v:imagedata o:title=""/>
                <o:lock v:ext="edit" aspectratio="f"/>
              </v:line>
            </w:pict>
          </mc:Fallback>
        </mc:AlternateContent>
      </w: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吉林电力股份有限公司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12" w:lineRule="atLeast"/>
        <w:ind w:left="0" w:right="0"/>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关于2024年中期分红安排的公告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12" w:lineRule="atLeast"/>
        <w:ind w:left="0" w:right="0"/>
        <w:jc w:val="center"/>
        <w:rPr>
          <w:rFonts w:hint="eastAsia" w:ascii="宋体" w:hAnsi="宋体" w:eastAsia="宋体" w:cs="宋体"/>
          <w:b/>
          <w:bCs/>
          <w:sz w:val="44"/>
          <w:szCs w:val="44"/>
          <w:highlight w:val="no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12" w:lineRule="atLeast"/>
        <w:ind w:left="0" w:right="0"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本公司及董事会全体成员保证信息披露内容的真实、准确和完整，没有虚假记载、误导性陈述或重大遗漏。</w:t>
      </w:r>
    </w:p>
    <w:p>
      <w:pPr>
        <w:pStyle w:val="3"/>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12" w:lineRule="atLeast"/>
        <w:ind w:left="0" w:right="0" w:firstLine="560" w:firstLineChars="200"/>
        <w:jc w:val="left"/>
        <w:rPr>
          <w:rFonts w:hint="eastAsia" w:ascii="仿宋" w:hAnsi="仿宋" w:eastAsia="仿宋" w:cs="仿宋"/>
          <w:kern w:val="0"/>
          <w:sz w:val="28"/>
          <w:szCs w:val="28"/>
          <w:shd w:val="clear" w:color="auto" w:fill="FFFFFF"/>
          <w:lang w:val="en-US" w:eastAsia="zh-CN" w:bidi="ar"/>
        </w:rPr>
      </w:pPr>
      <w:r>
        <w:rPr>
          <w:rFonts w:hint="eastAsia" w:ascii="仿宋" w:hAnsi="仿宋" w:eastAsia="仿宋" w:cs="仿宋"/>
          <w:kern w:val="0"/>
          <w:sz w:val="28"/>
          <w:szCs w:val="28"/>
          <w:shd w:val="clear" w:color="auto" w:fill="FFFFFF"/>
          <w:lang w:val="en-US" w:eastAsia="zh-CN" w:bidi="ar"/>
        </w:rPr>
        <w:t>吉林电力股份有限公司（以下简称“公司”）根据《公司法》《上市公司监管指引第3号--上市公司现金分红》《深圳证券交易所上市公司自律监管指引第1号--主板上市公司规范运作》等相关法律法规、规范性文件及公司《章程》的规定，为进一步提高分红频次，增强投资者回报水平，结合公司实际情况，拟定2024年中期分红安排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12" w:lineRule="atLeast"/>
        <w:ind w:left="0" w:right="0" w:firstLine="562" w:firstLineChars="200"/>
        <w:jc w:val="left"/>
        <w:rPr>
          <w:rFonts w:hint="eastAsia" w:ascii="仿宋" w:hAnsi="仿宋" w:eastAsia="仿宋" w:cs="仿宋"/>
          <w:b/>
          <w:bCs/>
          <w:kern w:val="0"/>
          <w:sz w:val="28"/>
          <w:szCs w:val="28"/>
          <w:shd w:val="clear" w:color="auto" w:fill="FFFFFF"/>
          <w:lang w:val="en-US" w:eastAsia="zh-CN" w:bidi="ar"/>
        </w:rPr>
      </w:pPr>
      <w:r>
        <w:rPr>
          <w:rFonts w:hint="eastAsia" w:ascii="仿宋" w:hAnsi="仿宋" w:eastAsia="仿宋" w:cs="仿宋"/>
          <w:b/>
          <w:bCs/>
          <w:kern w:val="0"/>
          <w:sz w:val="28"/>
          <w:szCs w:val="28"/>
          <w:shd w:val="clear" w:color="auto" w:fill="FFFFFF"/>
          <w:lang w:val="en-US" w:eastAsia="zh-CN" w:bidi="ar"/>
        </w:rPr>
        <w:t>一、2024年中期分红安排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12" w:lineRule="atLeast"/>
        <w:ind w:left="0" w:right="0" w:firstLine="560" w:firstLineChars="200"/>
        <w:jc w:val="left"/>
        <w:rPr>
          <w:rFonts w:hint="eastAsia" w:ascii="仿宋" w:hAnsi="仿宋" w:eastAsia="仿宋" w:cs="仿宋"/>
          <w:kern w:val="0"/>
          <w:sz w:val="28"/>
          <w:szCs w:val="28"/>
          <w:shd w:val="clear" w:color="auto" w:fill="FFFFFF"/>
          <w:lang w:val="en-US" w:eastAsia="zh-CN" w:bidi="ar"/>
        </w:rPr>
      </w:pPr>
      <w:r>
        <w:rPr>
          <w:rFonts w:hint="eastAsia" w:ascii="仿宋" w:hAnsi="仿宋" w:eastAsia="仿宋" w:cs="仿宋"/>
          <w:kern w:val="0"/>
          <w:sz w:val="28"/>
          <w:szCs w:val="28"/>
          <w:shd w:val="clear" w:color="auto" w:fill="FFFFFF"/>
          <w:lang w:val="en-US" w:eastAsia="zh-CN" w:bidi="ar"/>
        </w:rPr>
        <w:t>公司拟于2024年半年度结合2023年末未分配利润与当期业绩进行分红，以当时总股本为基数，</w:t>
      </w:r>
      <w:r>
        <w:rPr>
          <w:rFonts w:hint="eastAsia" w:ascii="仿宋" w:hAnsi="仿宋" w:eastAsia="仿宋" w:cs="仿宋"/>
          <w:i w:val="0"/>
          <w:iCs w:val="0"/>
          <w:caps w:val="0"/>
          <w:spacing w:val="0"/>
          <w:kern w:val="0"/>
          <w:sz w:val="28"/>
          <w:szCs w:val="28"/>
          <w:shd w:val="clear" w:color="auto" w:fill="FFFFFF"/>
          <w:lang w:val="en-US" w:eastAsia="zh-CN" w:bidi="ar"/>
        </w:rPr>
        <w:t>在满足公司《章程》规定的利润分配条件的前提下，现金分红金额不超过相应期间归属于上市公司股东的净利润的30%。</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12" w:lineRule="atLeast"/>
        <w:ind w:left="0" w:right="0" w:firstLine="560" w:firstLineChars="200"/>
        <w:jc w:val="left"/>
        <w:rPr>
          <w:rFonts w:hint="eastAsia" w:ascii="仿宋" w:hAnsi="仿宋" w:eastAsia="仿宋" w:cs="仿宋"/>
          <w:kern w:val="0"/>
          <w:sz w:val="28"/>
          <w:szCs w:val="28"/>
          <w:shd w:val="clear" w:color="auto" w:fill="FFFFFF"/>
          <w:lang w:val="en-US" w:eastAsia="zh-CN" w:bidi="ar"/>
        </w:rPr>
      </w:pPr>
      <w:r>
        <w:rPr>
          <w:rFonts w:hint="eastAsia" w:ascii="仿宋" w:hAnsi="仿宋" w:eastAsia="仿宋" w:cs="仿宋"/>
          <w:kern w:val="0"/>
          <w:sz w:val="28"/>
          <w:szCs w:val="28"/>
          <w:shd w:val="clear" w:color="auto" w:fill="FFFFFF"/>
          <w:lang w:val="en-US" w:eastAsia="zh-CN" w:bidi="ar"/>
        </w:rPr>
        <w:t>为简化分红程序，董事会拟提请股东大会批准授权，董事会根据股东大会决议在符合利润分配的条件下制定具体的中期分红方案。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12" w:lineRule="atLeast"/>
        <w:ind w:left="0" w:right="0" w:firstLine="560" w:firstLineChars="200"/>
        <w:jc w:val="left"/>
        <w:rPr>
          <w:rFonts w:hint="eastAsia" w:ascii="仿宋" w:hAnsi="仿宋" w:eastAsia="仿宋" w:cs="仿宋"/>
          <w:kern w:val="0"/>
          <w:sz w:val="28"/>
          <w:szCs w:val="28"/>
          <w:shd w:val="clear" w:color="auto" w:fill="FFFFFF"/>
          <w:lang w:val="en-US" w:eastAsia="zh-CN" w:bidi="ar"/>
        </w:rPr>
      </w:pPr>
      <w:r>
        <w:rPr>
          <w:rFonts w:hint="eastAsia" w:ascii="仿宋" w:hAnsi="仿宋" w:eastAsia="仿宋" w:cs="仿宋"/>
          <w:kern w:val="0"/>
          <w:sz w:val="28"/>
          <w:szCs w:val="28"/>
          <w:shd w:val="clear" w:color="auto" w:fill="FFFFFF"/>
          <w:lang w:val="en-US" w:eastAsia="zh-CN" w:bidi="ar"/>
        </w:rPr>
        <w:t>本议案已经公司第九届董事会第十七次会议、第九届</w:t>
      </w:r>
      <w:r>
        <w:rPr>
          <w:rFonts w:hint="eastAsia" w:ascii="仿宋" w:hAnsi="仿宋" w:eastAsia="仿宋" w:cs="仿宋"/>
          <w:kern w:val="0"/>
          <w:sz w:val="28"/>
          <w:szCs w:val="28"/>
          <w:highlight w:val="none"/>
          <w:shd w:val="clear" w:color="auto" w:fill="FFFFFF"/>
          <w:lang w:val="en-US" w:eastAsia="zh-CN" w:bidi="ar"/>
        </w:rPr>
        <w:t>监事会第十二次会议审议通过，尚</w:t>
      </w:r>
      <w:r>
        <w:rPr>
          <w:rFonts w:hint="eastAsia" w:ascii="仿宋" w:hAnsi="仿宋" w:eastAsia="仿宋" w:cs="仿宋"/>
          <w:kern w:val="0"/>
          <w:sz w:val="28"/>
          <w:szCs w:val="28"/>
          <w:shd w:val="clear" w:color="auto" w:fill="FFFFFF"/>
          <w:lang w:val="en-US" w:eastAsia="zh-CN" w:bidi="ar"/>
        </w:rPr>
        <w:t>需提交公司2023年度股东大会审议。</w:t>
      </w:r>
    </w:p>
    <w:p>
      <w:pPr>
        <w:pStyle w:val="3"/>
        <w:numPr>
          <w:ilvl w:val="0"/>
          <w:numId w:val="0"/>
        </w:numPr>
        <w:ind w:firstLine="562" w:firstLineChars="200"/>
        <w:rPr>
          <w:rFonts w:hint="eastAsia" w:ascii="仿宋" w:hAnsi="仿宋" w:eastAsia="仿宋" w:cs="仿宋"/>
          <w:b/>
          <w:bCs/>
          <w:kern w:val="0"/>
          <w:sz w:val="28"/>
          <w:szCs w:val="28"/>
          <w:highlight w:val="none"/>
          <w:shd w:val="clear" w:color="auto" w:fill="FFFFFF"/>
          <w:lang w:val="en-US" w:eastAsia="zh-CN" w:bidi="ar"/>
        </w:rPr>
      </w:pPr>
      <w:r>
        <w:rPr>
          <w:rFonts w:hint="eastAsia" w:ascii="仿宋" w:hAnsi="仿宋" w:eastAsia="仿宋" w:cs="仿宋"/>
          <w:b/>
          <w:bCs/>
          <w:kern w:val="0"/>
          <w:sz w:val="28"/>
          <w:szCs w:val="28"/>
          <w:highlight w:val="none"/>
          <w:shd w:val="clear" w:color="auto" w:fill="FFFFFF"/>
          <w:lang w:val="en-US" w:eastAsia="zh-CN" w:bidi="ar"/>
        </w:rPr>
        <w:t>二、独立董事专门会议及董事会审计委员会意见</w:t>
      </w:r>
    </w:p>
    <w:p>
      <w:pPr>
        <w:pStyle w:val="3"/>
        <w:numPr>
          <w:ilvl w:val="0"/>
          <w:numId w:val="0"/>
        </w:numPr>
        <w:ind w:firstLine="560" w:firstLineChars="200"/>
        <w:rPr>
          <w:rFonts w:hint="eastAsia" w:ascii="仿宋" w:hAnsi="仿宋" w:eastAsia="仿宋" w:cs="仿宋"/>
          <w:kern w:val="0"/>
          <w:sz w:val="28"/>
          <w:szCs w:val="28"/>
          <w:highlight w:val="none"/>
          <w:shd w:val="clear" w:color="auto" w:fill="FFFFFF"/>
          <w:lang w:val="en-US" w:eastAsia="zh-CN" w:bidi="ar"/>
        </w:rPr>
      </w:pPr>
      <w:r>
        <w:rPr>
          <w:rFonts w:hint="eastAsia" w:ascii="仿宋" w:hAnsi="仿宋" w:eastAsia="仿宋" w:cs="仿宋"/>
          <w:kern w:val="0"/>
          <w:sz w:val="28"/>
          <w:szCs w:val="28"/>
          <w:highlight w:val="none"/>
          <w:shd w:val="clear" w:color="auto" w:fill="FFFFFF"/>
          <w:lang w:val="en-US" w:eastAsia="zh-CN" w:bidi="ar"/>
        </w:rPr>
        <w:t>1.独立董事专门会议审查意见</w:t>
      </w:r>
    </w:p>
    <w:p>
      <w:pPr>
        <w:pStyle w:val="3"/>
        <w:numPr>
          <w:ilvl w:val="0"/>
          <w:numId w:val="0"/>
        </w:numPr>
        <w:ind w:firstLine="560" w:firstLineChars="200"/>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经审查，公司2024年中期分红安排符合公司实际情况，符合《上市公司监管指引第3号——上市公司现金分红》的相关要求，符合公司《章程》和《未来三年（2023-2025年）股东回报规划》，体现了公司对投资者合理回报的重视，有利于公司的正常经营和健康发展，不存在损害公司股东尤其是中小股东利益的情形。</w:t>
      </w:r>
    </w:p>
    <w:p>
      <w:pPr>
        <w:pStyle w:val="3"/>
        <w:numPr>
          <w:ilvl w:val="0"/>
          <w:numId w:val="0"/>
        </w:numPr>
        <w:ind w:firstLine="560" w:firstLineChars="200"/>
        <w:rPr>
          <w:rFonts w:hint="eastAsia" w:ascii="仿宋" w:hAnsi="仿宋" w:eastAsia="仿宋" w:cs="仿宋"/>
          <w:kern w:val="0"/>
          <w:sz w:val="28"/>
          <w:szCs w:val="28"/>
          <w:highlight w:val="none"/>
          <w:shd w:val="clear" w:color="auto" w:fill="FFFFFF"/>
          <w:lang w:val="en-US" w:eastAsia="zh-CN" w:bidi="ar"/>
        </w:rPr>
      </w:pPr>
      <w:r>
        <w:rPr>
          <w:rFonts w:hint="eastAsia" w:ascii="仿宋" w:hAnsi="仿宋" w:eastAsia="仿宋" w:cs="仿宋"/>
          <w:kern w:val="0"/>
          <w:sz w:val="28"/>
          <w:szCs w:val="28"/>
          <w:highlight w:val="none"/>
          <w:shd w:val="clear" w:color="auto" w:fill="FFFFFF"/>
          <w:lang w:val="en-US" w:eastAsia="zh-CN" w:bidi="ar"/>
        </w:rPr>
        <w:t>2.董事会审计委员会意见</w:t>
      </w:r>
    </w:p>
    <w:p>
      <w:pPr>
        <w:keepNext w:val="0"/>
        <w:keepLines w:val="0"/>
        <w:widowControl/>
        <w:suppressLineNumbers w:val="0"/>
        <w:ind w:firstLine="560" w:firstLineChars="200"/>
        <w:jc w:val="left"/>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公司2024年中期分红安排</w:t>
      </w:r>
      <w:r>
        <w:rPr>
          <w:rFonts w:hint="default" w:ascii="仿宋" w:hAnsi="仿宋" w:eastAsia="仿宋" w:cs="仿宋"/>
          <w:sz w:val="28"/>
          <w:szCs w:val="36"/>
          <w:highlight w:val="none"/>
          <w:lang w:val="en-US" w:eastAsia="zh-CN"/>
        </w:rPr>
        <w:t>符合《公司法》《上市公司监管指引第3号——上市公司现金分红》以及公司《章程》等相关规定，符合公司确定的利润分配政策、股东回报规划，是基于公司经营状况、未来发展规划的基础上提出的，具备合法性、合规性及合理性。</w:t>
      </w:r>
      <w:r>
        <w:rPr>
          <w:rFonts w:hint="eastAsia" w:ascii="Times New Roman" w:hAnsi="Times New Roman" w:eastAsia="仿宋" w:cs="仿宋_GB2312"/>
          <w:sz w:val="28"/>
          <w:szCs w:val="28"/>
          <w:highlight w:val="none"/>
          <w:lang w:val="en-US" w:eastAsia="zh-CN" w:bidi="ar"/>
        </w:rPr>
        <w:t>综上，公司董事会审</w:t>
      </w:r>
      <w:r>
        <w:rPr>
          <w:rFonts w:hint="eastAsia" w:ascii="仿宋" w:hAnsi="仿宋" w:eastAsia="仿宋" w:cs="仿宋"/>
          <w:sz w:val="28"/>
          <w:szCs w:val="36"/>
          <w:highlight w:val="none"/>
          <w:lang w:val="en-US" w:eastAsia="zh-CN"/>
        </w:rPr>
        <w:t>计委员会认为公司本次中期分红安排充分、合理。</w:t>
      </w:r>
    </w:p>
    <w:p>
      <w:pPr>
        <w:pStyle w:val="3"/>
        <w:ind w:firstLine="560"/>
        <w:rPr>
          <w:rFonts w:hint="default"/>
          <w:lang w:val="en-US" w:eastAsia="zh-CN"/>
        </w:rPr>
      </w:pPr>
      <w:r>
        <w:rPr>
          <w:rFonts w:hint="eastAsia" w:ascii="仿宋" w:hAnsi="仿宋" w:eastAsia="仿宋" w:cs="仿宋"/>
          <w:b/>
          <w:bCs/>
          <w:kern w:val="0"/>
          <w:sz w:val="28"/>
          <w:szCs w:val="28"/>
          <w:shd w:val="clear" w:color="auto" w:fill="FFFFFF"/>
          <w:lang w:val="en-US" w:eastAsia="zh-CN" w:bidi="ar"/>
        </w:rPr>
        <w:t>三、风险提示</w:t>
      </w:r>
    </w:p>
    <w:p>
      <w:pPr>
        <w:widowControl/>
        <w:pBdr>
          <w:top w:val="none" w:color="auto" w:sz="0" w:space="0"/>
          <w:left w:val="none" w:color="auto" w:sz="0" w:space="0"/>
          <w:bottom w:val="none" w:color="auto" w:sz="0" w:space="0"/>
          <w:right w:val="none" w:color="auto" w:sz="0" w:space="0"/>
        </w:pBdr>
        <w:shd w:val="clear" w:color="auto" w:fill="FFFFFF"/>
        <w:spacing w:line="12" w:lineRule="atLeast"/>
        <w:ind w:firstLine="560"/>
        <w:jc w:val="left"/>
        <w:rPr>
          <w:rFonts w:hint="eastAsia" w:ascii="仿宋" w:hAnsi="仿宋" w:eastAsia="仿宋" w:cs="仿宋"/>
          <w:kern w:val="0"/>
          <w:sz w:val="28"/>
          <w:szCs w:val="28"/>
          <w:shd w:val="clear" w:color="auto" w:fill="FFFFFF"/>
          <w:lang w:val="en-US" w:eastAsia="zh-CN" w:bidi="ar"/>
        </w:rPr>
      </w:pPr>
      <w:r>
        <w:rPr>
          <w:rFonts w:hint="eastAsia" w:ascii="仿宋" w:hAnsi="仿宋" w:eastAsia="仿宋" w:cs="仿宋"/>
          <w:kern w:val="0"/>
          <w:sz w:val="28"/>
          <w:szCs w:val="28"/>
          <w:shd w:val="clear" w:color="auto" w:fill="FFFFFF"/>
          <w:lang w:bidi="ar"/>
        </w:rPr>
        <w:t>2024年中期分红安排</w:t>
      </w:r>
      <w:r>
        <w:rPr>
          <w:rFonts w:hint="eastAsia" w:ascii="仿宋" w:hAnsi="仿宋" w:eastAsia="仿宋" w:cs="仿宋"/>
          <w:i w:val="0"/>
          <w:iCs w:val="0"/>
          <w:caps w:val="0"/>
          <w:spacing w:val="0"/>
          <w:kern w:val="0"/>
          <w:sz w:val="28"/>
          <w:szCs w:val="28"/>
          <w:shd w:val="clear" w:color="auto" w:fill="FFFFFF"/>
          <w:lang w:bidi="ar"/>
        </w:rPr>
        <w:t>中涉及的任何未来计划等前瞻性的陈述及预期，均系公司根据现阶段情况而制定的</w:t>
      </w:r>
      <w:r>
        <w:rPr>
          <w:rFonts w:hint="eastAsia" w:ascii="仿宋" w:hAnsi="仿宋" w:eastAsia="仿宋" w:cs="仿宋"/>
          <w:i w:val="0"/>
          <w:iCs w:val="0"/>
          <w:caps w:val="0"/>
          <w:spacing w:val="0"/>
          <w:kern w:val="0"/>
          <w:sz w:val="28"/>
          <w:szCs w:val="28"/>
          <w:shd w:val="clear" w:color="auto" w:fill="FFFFFF"/>
          <w:lang w:val="en-US" w:eastAsia="zh-CN" w:bidi="ar"/>
        </w:rPr>
        <w:t>安排</w:t>
      </w:r>
      <w:r>
        <w:rPr>
          <w:rFonts w:hint="eastAsia" w:ascii="仿宋" w:hAnsi="仿宋" w:eastAsia="仿宋" w:cs="仿宋"/>
          <w:i w:val="0"/>
          <w:iCs w:val="0"/>
          <w:caps w:val="0"/>
          <w:spacing w:val="0"/>
          <w:kern w:val="0"/>
          <w:sz w:val="28"/>
          <w:szCs w:val="28"/>
          <w:shd w:val="clear" w:color="auto" w:fill="FFFFFF"/>
          <w:lang w:bidi="ar"/>
        </w:rPr>
        <w:t>，该等陈述及预期均不构成公司对投资者的任何承诺，敬请投资者注意投资风险。</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12" w:lineRule="atLeast"/>
        <w:ind w:right="0" w:firstLine="562" w:firstLineChars="200"/>
        <w:jc w:val="left"/>
        <w:rPr>
          <w:rFonts w:hint="eastAsia" w:ascii="仿宋" w:hAnsi="仿宋" w:eastAsia="仿宋" w:cs="仿宋"/>
          <w:b/>
          <w:bCs/>
          <w:kern w:val="0"/>
          <w:sz w:val="28"/>
          <w:szCs w:val="28"/>
          <w:shd w:val="clear" w:color="auto" w:fill="FFFFFF"/>
          <w:lang w:val="en-US" w:eastAsia="zh-CN" w:bidi="ar"/>
        </w:rPr>
      </w:pPr>
      <w:r>
        <w:rPr>
          <w:rFonts w:hint="eastAsia" w:ascii="仿宋" w:hAnsi="仿宋" w:eastAsia="仿宋" w:cs="仿宋"/>
          <w:b/>
          <w:bCs/>
          <w:kern w:val="0"/>
          <w:sz w:val="28"/>
          <w:szCs w:val="28"/>
          <w:shd w:val="clear" w:color="auto" w:fill="FFFFFF"/>
          <w:lang w:val="en-US" w:eastAsia="zh-CN" w:bidi="ar"/>
        </w:rPr>
        <w:t>四、备查文件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12" w:lineRule="atLeast"/>
        <w:ind w:right="0" w:rightChars="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shd w:val="clear" w:color="auto" w:fill="FFFFFF"/>
          <w:lang w:val="en-US" w:eastAsia="zh-CN" w:bidi="ar"/>
        </w:rPr>
        <w:t>1.第九届董事会第十七次会议决议；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12" w:lineRule="atLeast"/>
        <w:ind w:right="0" w:rightChars="0" w:firstLine="560" w:firstLineChars="200"/>
        <w:jc w:val="left"/>
        <w:rPr>
          <w:rFonts w:hint="eastAsia" w:ascii="仿宋" w:hAnsi="仿宋" w:eastAsia="仿宋" w:cs="仿宋"/>
          <w:kern w:val="0"/>
          <w:sz w:val="28"/>
          <w:szCs w:val="28"/>
          <w:shd w:val="clear" w:color="auto" w:fill="FFFFFF"/>
          <w:lang w:val="en-US" w:eastAsia="zh-CN" w:bidi="ar"/>
        </w:rPr>
      </w:pPr>
      <w:r>
        <w:rPr>
          <w:rFonts w:hint="eastAsia" w:ascii="仿宋" w:hAnsi="仿宋" w:eastAsia="仿宋" w:cs="仿宋"/>
          <w:kern w:val="0"/>
          <w:sz w:val="28"/>
          <w:szCs w:val="28"/>
          <w:shd w:val="clear" w:color="auto" w:fill="FFFFFF"/>
          <w:lang w:val="en-US" w:eastAsia="zh-CN" w:bidi="ar"/>
        </w:rPr>
        <w:t>2.第九届监</w:t>
      </w:r>
      <w:r>
        <w:rPr>
          <w:rFonts w:hint="eastAsia" w:ascii="仿宋" w:hAnsi="仿宋" w:eastAsia="仿宋" w:cs="仿宋"/>
          <w:kern w:val="0"/>
          <w:sz w:val="28"/>
          <w:szCs w:val="28"/>
          <w:highlight w:val="none"/>
          <w:shd w:val="clear" w:color="auto" w:fill="FFFFFF"/>
          <w:lang w:val="en-US" w:eastAsia="zh-CN" w:bidi="ar"/>
        </w:rPr>
        <w:t>事会第十二次会议决</w:t>
      </w:r>
      <w:r>
        <w:rPr>
          <w:rFonts w:hint="eastAsia" w:ascii="仿宋" w:hAnsi="仿宋" w:eastAsia="仿宋" w:cs="仿宋"/>
          <w:kern w:val="0"/>
          <w:sz w:val="28"/>
          <w:szCs w:val="28"/>
          <w:shd w:val="clear" w:color="auto" w:fill="FFFFFF"/>
          <w:lang w:val="en-US" w:eastAsia="zh-CN" w:bidi="ar"/>
        </w:rPr>
        <w:t>议；</w:t>
      </w:r>
    </w:p>
    <w:p>
      <w:pPr>
        <w:pStyle w:val="3"/>
        <w:rPr>
          <w:rFonts w:hint="eastAsia" w:ascii="仿宋" w:hAnsi="仿宋" w:eastAsia="仿宋" w:cs="仿宋"/>
          <w:kern w:val="0"/>
          <w:sz w:val="28"/>
          <w:szCs w:val="28"/>
          <w:shd w:val="clear" w:color="auto" w:fill="FFFFFF"/>
          <w:lang w:val="en-US" w:eastAsia="zh-CN" w:bidi="ar"/>
        </w:rPr>
      </w:pPr>
      <w:r>
        <w:rPr>
          <w:rFonts w:hint="eastAsia" w:ascii="仿宋" w:hAnsi="仿宋" w:eastAsia="仿宋" w:cs="仿宋"/>
          <w:kern w:val="0"/>
          <w:sz w:val="28"/>
          <w:szCs w:val="28"/>
          <w:shd w:val="clear" w:color="auto" w:fill="FFFFFF"/>
          <w:lang w:val="en-US" w:eastAsia="zh-CN" w:bidi="ar"/>
        </w:rPr>
        <w:t>3.2024年第二次独立董事专门会议审查意见；</w:t>
      </w:r>
    </w:p>
    <w:p>
      <w:pPr>
        <w:pStyle w:val="3"/>
        <w:rPr>
          <w:rFonts w:hint="default" w:ascii="仿宋" w:hAnsi="仿宋" w:eastAsia="仿宋" w:cs="仿宋"/>
          <w:kern w:val="0"/>
          <w:sz w:val="28"/>
          <w:szCs w:val="28"/>
          <w:shd w:val="clear" w:color="auto" w:fill="FFFFFF"/>
          <w:lang w:val="en-US" w:eastAsia="zh-CN" w:bidi="ar"/>
        </w:rPr>
      </w:pPr>
      <w:r>
        <w:rPr>
          <w:rFonts w:hint="eastAsia" w:ascii="仿宋" w:hAnsi="仿宋" w:eastAsia="仿宋" w:cs="仿宋"/>
          <w:kern w:val="0"/>
          <w:sz w:val="28"/>
          <w:szCs w:val="28"/>
          <w:shd w:val="clear" w:color="auto" w:fill="FFFFFF"/>
          <w:lang w:val="en-US" w:eastAsia="zh-CN" w:bidi="ar"/>
        </w:rPr>
        <w:t>4.第九届董事会审计委员会2024年第一次会议纪要。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12" w:lineRule="atLeast"/>
        <w:ind w:leftChars="200" w:right="0" w:rightChars="0"/>
        <w:jc w:val="left"/>
        <w:rPr>
          <w:rFonts w:hint="eastAsia" w:ascii="仿宋" w:hAnsi="仿宋" w:eastAsia="仿宋" w:cs="仿宋"/>
          <w:kern w:val="0"/>
          <w:sz w:val="28"/>
          <w:szCs w:val="28"/>
          <w:shd w:val="clear" w:color="auto"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12" w:lineRule="atLeast"/>
        <w:ind w:leftChars="200" w:right="0" w:rightChars="0"/>
        <w:jc w:val="left"/>
        <w:rPr>
          <w:rFonts w:hint="eastAsia" w:ascii="仿宋" w:hAnsi="仿宋" w:eastAsia="仿宋" w:cs="仿宋"/>
          <w:kern w:val="0"/>
          <w:sz w:val="28"/>
          <w:szCs w:val="28"/>
          <w:shd w:val="clear" w:color="auto" w:fill="FFFFFF"/>
          <w:lang w:val="en-US" w:eastAsia="zh-CN" w:bidi="ar"/>
        </w:rPr>
      </w:pPr>
      <w:r>
        <w:rPr>
          <w:rFonts w:hint="eastAsia" w:ascii="仿宋" w:hAnsi="仿宋" w:eastAsia="仿宋" w:cs="仿宋"/>
          <w:kern w:val="0"/>
          <w:sz w:val="28"/>
          <w:szCs w:val="28"/>
          <w:shd w:val="clear" w:color="auto" w:fill="FFFFFF"/>
          <w:lang w:val="en-US" w:eastAsia="zh-CN" w:bidi="ar"/>
        </w:rPr>
        <w:t>特此公告。</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jc w:val="right"/>
        <w:textAlignment w:val="auto"/>
        <w:rPr>
          <w:rFonts w:hint="eastAsia" w:ascii="仿宋" w:hAnsi="仿宋" w:eastAsia="仿宋" w:cs="仿宋"/>
          <w:sz w:val="28"/>
          <w:szCs w:val="28"/>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jc w:val="righ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吉林电力股份有限公司董事会</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jc w:val="righ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二〇二四年四月二十六日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12" w:lineRule="atLeast"/>
        <w:ind w:left="0" w:right="0" w:firstLine="0"/>
        <w:jc w:val="left"/>
        <w:rPr>
          <w:rFonts w:hint="eastAsia" w:ascii="仿宋" w:hAnsi="仿宋" w:eastAsia="仿宋" w:cs="仿宋"/>
          <w:i w:val="0"/>
          <w:iCs w:val="0"/>
          <w:caps w:val="0"/>
          <w:color w:val="000000"/>
          <w:spacing w:val="0"/>
          <w:sz w:val="28"/>
          <w:szCs w:val="28"/>
        </w:rPr>
      </w:pPr>
    </w:p>
    <w:p>
      <w:pPr>
        <w:rPr>
          <w:rFonts w:hint="eastAsia" w:ascii="仿宋" w:hAnsi="仿宋" w:eastAsia="仿宋" w:cs="仿宋"/>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000000"/>
    <w:rsid w:val="01DF631E"/>
    <w:rsid w:val="02343543"/>
    <w:rsid w:val="033B173F"/>
    <w:rsid w:val="0406693A"/>
    <w:rsid w:val="0D8F6E84"/>
    <w:rsid w:val="1058445F"/>
    <w:rsid w:val="117C32E2"/>
    <w:rsid w:val="123A3DC3"/>
    <w:rsid w:val="1ADE55FA"/>
    <w:rsid w:val="214D4B0E"/>
    <w:rsid w:val="21823524"/>
    <w:rsid w:val="23B76226"/>
    <w:rsid w:val="24AD0896"/>
    <w:rsid w:val="28CD1541"/>
    <w:rsid w:val="29827E50"/>
    <w:rsid w:val="2A0451BF"/>
    <w:rsid w:val="2CDB55D9"/>
    <w:rsid w:val="2D976001"/>
    <w:rsid w:val="2DD14D37"/>
    <w:rsid w:val="2F4912F3"/>
    <w:rsid w:val="30F703F9"/>
    <w:rsid w:val="311A3C1C"/>
    <w:rsid w:val="33995EB7"/>
    <w:rsid w:val="37317C9C"/>
    <w:rsid w:val="38FA6861"/>
    <w:rsid w:val="3A3C0B99"/>
    <w:rsid w:val="3DB57AB7"/>
    <w:rsid w:val="3F595FFD"/>
    <w:rsid w:val="4CC54137"/>
    <w:rsid w:val="4E860298"/>
    <w:rsid w:val="4E8D4D88"/>
    <w:rsid w:val="50031E55"/>
    <w:rsid w:val="57E26ABC"/>
    <w:rsid w:val="5C13301F"/>
    <w:rsid w:val="60B6353B"/>
    <w:rsid w:val="60C842D7"/>
    <w:rsid w:val="6205479B"/>
    <w:rsid w:val="62CC019C"/>
    <w:rsid w:val="654A07FA"/>
    <w:rsid w:val="6B110B1C"/>
    <w:rsid w:val="6B3A6CFA"/>
    <w:rsid w:val="6B834B70"/>
    <w:rsid w:val="6CD8310E"/>
    <w:rsid w:val="6D546D8A"/>
    <w:rsid w:val="6EFB3EA2"/>
    <w:rsid w:val="71F6235E"/>
    <w:rsid w:val="73C0334D"/>
    <w:rsid w:val="73E67832"/>
    <w:rsid w:val="73FE5F7C"/>
    <w:rsid w:val="7C3C6A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0"/>
    </w:pPr>
    <w:rPr>
      <w:rFonts w:ascii="Times New Roman" w:hAnsi="Times New Roman"/>
    </w:rPr>
  </w:style>
  <w:style w:type="paragraph" w:styleId="3">
    <w:name w:val="Normal Indent"/>
    <w:basedOn w:val="1"/>
    <w:next w:val="1"/>
    <w:qFormat/>
    <w:uiPriority w:val="0"/>
    <w:pPr>
      <w:ind w:firstLine="420" w:firstLine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2024-04-12T05:15:00Z</dcterms:created>
  <dc:creator>JIA</dc:creator>
  <cp:lastModifiedBy>WPS_1591103659</cp:lastModifiedBy>
  <dcterms:modified xsi:type="dcterms:W3CDTF">2024-04-29T08:08:25Z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5C09D26309A94CDEA3831DE657EE8127</vt:lpwstr>
  </property>
</Properties>
</file>