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宋体"/>
          <w:lang w:eastAsia="zh-CN"/>
        </w:rPr>
      </w:pPr>
      <w:r>
        <w:t>证券代码：000875            证券简称：吉电股份               公告编号：202</w:t>
      </w:r>
      <w:r>
        <w:rPr>
          <w:rFonts w:hint="eastAsia"/>
        </w:rPr>
        <w:t>4</w:t>
      </w:r>
      <w:r>
        <w:t>-01</w:t>
      </w:r>
      <w:r>
        <w:rPr>
          <w:rFonts w:hint="eastAsia"/>
          <w:lang w:val="en-US" w:eastAsia="zh-CN"/>
        </w:rPr>
        <w:t>5</w:t>
      </w:r>
    </w:p>
    <w:p>
      <w:pPr>
        <w:spacing w:line="560" w:lineRule="exact"/>
        <w:rPr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7820" cy="22860"/>
                <wp:effectExtent l="0" t="28575" r="7620" b="400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1.8pt;width:426.6pt;z-index:251659264;mso-width-relative:page;mso-height-relative:page;" filled="f" stroked="t" coordsize="21600,21600" o:gfxdata="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ypLL0wAAAAMBAAAPAAAAAAAAAAEAIAAAACIAAABkcnMvZG93bnJldi54bWxQ&#10;SwECFAAUAAAACACHTuJA3WRigPwBAADtAwAADgAAAAAAAAABACAAAAAiAQAAZHJzL2Uyb0RvYy54&#10;bWxQSwUGAAAAAAYABgBZAQAAkAUAAAAA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吉林电力股份有限公司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</w:rPr>
        <w:t>4</w:t>
      </w:r>
      <w:r>
        <w:rPr>
          <w:b/>
          <w:sz w:val="44"/>
          <w:szCs w:val="44"/>
        </w:rPr>
        <w:t>年度第</w:t>
      </w:r>
      <w:r>
        <w:rPr>
          <w:rFonts w:hint="eastAsia"/>
          <w:b/>
          <w:sz w:val="44"/>
          <w:szCs w:val="44"/>
        </w:rPr>
        <w:t>一</w:t>
      </w:r>
      <w:r>
        <w:rPr>
          <w:b/>
          <w:sz w:val="44"/>
          <w:szCs w:val="44"/>
        </w:rPr>
        <w:t>期超短期融资券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发行情况</w:t>
      </w:r>
      <w:r>
        <w:rPr>
          <w:rFonts w:hint="eastAsia"/>
          <w:b/>
          <w:sz w:val="44"/>
          <w:szCs w:val="44"/>
        </w:rPr>
        <w:t>的</w:t>
      </w:r>
      <w:r>
        <w:rPr>
          <w:b/>
          <w:sz w:val="44"/>
          <w:szCs w:val="44"/>
        </w:rPr>
        <w:t>公告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firstLine="562" w:firstLineChars="20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本公司及董事会全体成员保证信息披露内容的真实、准确和完整，没有虚假记载、误导性陈述或重大遗漏。</w:t>
      </w:r>
    </w:p>
    <w:p>
      <w:pPr>
        <w:spacing w:line="600" w:lineRule="exact"/>
        <w:ind w:firstLine="562" w:firstLineChars="200"/>
        <w:rPr>
          <w:rFonts w:eastAsia="仿宋"/>
          <w:b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中国银行间市场交易商协会核发的《接受注册通知书》（中市协注【2023】SCP225号），中国银行间市场交易商协会接受吉林电力股份有限公司（以下简称“公司”）发行超短期融资券，注册金额为人民币30亿元，注册额度自通知书落款之日起</w:t>
      </w:r>
      <w:r>
        <w:rPr>
          <w:rFonts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</w:rPr>
        <w:t>年内有效，在注册有效期内可分期发行。具体内容详见公司</w:t>
      </w:r>
      <w:r>
        <w:rPr>
          <w:rFonts w:eastAsia="仿宋"/>
          <w:sz w:val="28"/>
          <w:szCs w:val="28"/>
        </w:rPr>
        <w:t>202</w:t>
      </w:r>
      <w:r>
        <w:rPr>
          <w:rFonts w:hint="eastAsia" w:eastAsia="仿宋"/>
          <w:sz w:val="28"/>
          <w:szCs w:val="28"/>
        </w:rPr>
        <w:t>3年5月</w:t>
      </w:r>
      <w:r>
        <w:rPr>
          <w:rFonts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</w:rPr>
        <w:t>5日刊载于巨潮资讯网（www.cninfo.com.cn）、《中国证券报》《上海证券报》及《证券时报》的《关于公司超短期融资券获得注册的公告》（2023-042）。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公司于2024年2月29日完成了“吉林电力股份有限公司2024年度第一期超短期融资券”（以下简称“本期超短期融资券”）的发行。本期超短期融资券的发行额为10亿元人民币，期限为28天，单位面值为100元人民币，票面利率为2.18%。2024年3月1日，本期超短期融资券所募集资金10亿元人民币已经全额到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本期超短期融资券由国家开发银行作为主承销商及簿记管理人，中信银行股份有限公司作为联席主承销商，募集资金将用于偿还未来到期的有息负债。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特此公告。 </w:t>
      </w:r>
    </w:p>
    <w:p>
      <w:pPr>
        <w:spacing w:line="600" w:lineRule="exact"/>
        <w:ind w:firstLine="4620" w:firstLineChars="1650"/>
        <w:rPr>
          <w:rFonts w:eastAsia="仿宋"/>
          <w:sz w:val="28"/>
          <w:szCs w:val="28"/>
        </w:rPr>
      </w:pPr>
    </w:p>
    <w:p>
      <w:pPr>
        <w:spacing w:line="600" w:lineRule="exact"/>
        <w:ind w:firstLine="4620" w:firstLineChars="165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吉林电力股份有限公司董事会</w:t>
      </w:r>
    </w:p>
    <w:p>
      <w:pPr>
        <w:spacing w:line="6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</w:t>
      </w:r>
      <w:r>
        <w:rPr>
          <w:rFonts w:hint="eastAsia" w:eastAsia="仿宋"/>
          <w:sz w:val="28"/>
          <w:szCs w:val="28"/>
        </w:rPr>
        <w:t xml:space="preserve">     </w:t>
      </w:r>
      <w:r>
        <w:rPr>
          <w:rFonts w:eastAsia="仿宋"/>
          <w:sz w:val="28"/>
          <w:szCs w:val="28"/>
        </w:rPr>
        <w:t xml:space="preserve"> 二〇二</w:t>
      </w:r>
      <w:r>
        <w:rPr>
          <w:rFonts w:hint="eastAsia" w:eastAsia="仿宋"/>
          <w:sz w:val="28"/>
          <w:szCs w:val="28"/>
        </w:rPr>
        <w:t>四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</w:rPr>
        <w:t>三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四</w:t>
      </w:r>
      <w:r>
        <w:rPr>
          <w:rFonts w:eastAsia="仿宋"/>
          <w:sz w:val="28"/>
          <w:szCs w:val="28"/>
        </w:rPr>
        <w:t>日</w:t>
      </w:r>
    </w:p>
    <w:p>
      <w:pPr>
        <w:pStyle w:val="2"/>
        <w:spacing w:line="600" w:lineRule="exact"/>
        <w:ind w:firstLine="560"/>
        <w:rPr>
          <w:rFonts w:eastAsia="仿宋"/>
          <w:sz w:val="28"/>
          <w:szCs w:val="28"/>
        </w:rPr>
      </w:pP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ZDUxMmU3NmEwMTE5M2Q5ZTg0MGVmOGY5OWRhMDQifQ=="/>
  </w:docVars>
  <w:rsids>
    <w:rsidRoot w:val="240F6EF8"/>
    <w:rsid w:val="00085180"/>
    <w:rsid w:val="00125E8D"/>
    <w:rsid w:val="00180680"/>
    <w:rsid w:val="001C5711"/>
    <w:rsid w:val="00262119"/>
    <w:rsid w:val="002824CF"/>
    <w:rsid w:val="002D5F9F"/>
    <w:rsid w:val="002E707B"/>
    <w:rsid w:val="003A4031"/>
    <w:rsid w:val="005045CA"/>
    <w:rsid w:val="005B06CF"/>
    <w:rsid w:val="005D3FCA"/>
    <w:rsid w:val="00605BCC"/>
    <w:rsid w:val="00674E4E"/>
    <w:rsid w:val="007C4472"/>
    <w:rsid w:val="009066DD"/>
    <w:rsid w:val="0096106D"/>
    <w:rsid w:val="00996A20"/>
    <w:rsid w:val="00A2377A"/>
    <w:rsid w:val="00AA5D7C"/>
    <w:rsid w:val="00AB4F91"/>
    <w:rsid w:val="00B00CBF"/>
    <w:rsid w:val="00B75532"/>
    <w:rsid w:val="00BA20DA"/>
    <w:rsid w:val="00BE06DE"/>
    <w:rsid w:val="00CF2272"/>
    <w:rsid w:val="00EB2D20"/>
    <w:rsid w:val="00EF62F4"/>
    <w:rsid w:val="00F4647B"/>
    <w:rsid w:val="00FD54F3"/>
    <w:rsid w:val="21120889"/>
    <w:rsid w:val="240F6EF8"/>
    <w:rsid w:val="42CD0874"/>
    <w:rsid w:val="646E611F"/>
    <w:rsid w:val="76D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9"/>
    <w:basedOn w:val="1"/>
    <w:qFormat/>
    <w:uiPriority w:val="0"/>
    <w:rPr>
      <w:rFonts w:ascii="Tahoma" w:hAnsi="Tahoma" w:eastAsia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574</Characters>
  <Lines>4</Lines>
  <Paragraphs>1</Paragraphs>
  <TotalTime>178</TotalTime>
  <ScaleCrop>false</ScaleCrop>
  <LinksUpToDate>false</LinksUpToDate>
  <CharactersWithSpaces>673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2024-03-01T05:07:00Z</dcterms:created>
  <dc:creator>WPS_1591103659</dc:creator>
  <cp:lastModifiedBy>WPS_1591103659</cp:lastModifiedBy>
  <cp:lastPrinted>2022-11-15T07:57:00Z</cp:lastPrinted>
  <dcterms:modified xsi:type="dcterms:W3CDTF">2024-03-01T06:30:15Z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DFC9CA2388DE43CE96EF811DBE126DE3_13</vt:lpwstr>
  </property>
</Properties>
</file>