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left="0"/>
        <w:textAlignment w:val="auto"/>
        <w:rPr>
          <w:rFonts w:hint="default" w:ascii="Times New Roman" w:hAnsi="Times New Roman" w:eastAsia="宋体"/>
          <w:highlight w:val="none"/>
          <w:u w:val="single"/>
          <w:lang w:val="en-US" w:eastAsia="zh-CN"/>
        </w:rPr>
      </w:pPr>
      <w:r>
        <w:rPr>
          <w:rFonts w:ascii="Times New Roman" w:hAnsi="Times New Roman"/>
        </w:rPr>
        <w:t xml:space="preserve">证券代码：000875         </w:t>
      </w:r>
      <w:r>
        <w:rPr>
          <w:rFonts w:hint="eastAsia" w:ascii="Times New Roman" w:hAnsi="Times New Roman"/>
        </w:rPr>
        <w:t xml:space="preserve">  </w:t>
      </w:r>
      <w:r>
        <w:rPr>
          <w:rFonts w:ascii="Times New Roman" w:hAnsi="Times New Roman"/>
        </w:rPr>
        <w:t xml:space="preserve"> 证券简称：吉电股份       </w:t>
      </w:r>
      <w:r>
        <w:rPr>
          <w:rFonts w:hint="eastAsia" w:ascii="Times New Roman" w:hAnsi="Times New Roman"/>
        </w:rPr>
        <w:t xml:space="preserve"> </w:t>
      </w:r>
      <w:r>
        <w:rPr>
          <w:rFonts w:ascii="Times New Roman" w:hAnsi="Times New Roman"/>
        </w:rPr>
        <w:t xml:space="preserve">      公告编号</w:t>
      </w:r>
      <w:r>
        <w:rPr>
          <w:rFonts w:ascii="Times New Roman" w:hAnsi="Times New Roman"/>
          <w:highlight w:val="none"/>
        </w:rPr>
        <w:t>：20</w:t>
      </w:r>
      <w:r>
        <w:rPr>
          <w:rFonts w:hint="eastAsia" w:ascii="Times New Roman" w:hAnsi="Times New Roman"/>
          <w:highlight w:val="none"/>
        </w:rPr>
        <w:t>2</w:t>
      </w:r>
      <w:r>
        <w:rPr>
          <w:rFonts w:hint="eastAsia"/>
          <w:highlight w:val="none"/>
          <w:lang w:val="en-US" w:eastAsia="zh-CN"/>
        </w:rPr>
        <w:t>4</w:t>
      </w:r>
      <w:r>
        <w:rPr>
          <w:rFonts w:hint="eastAsia" w:ascii="Times New Roman" w:hAnsi="Times New Roman"/>
          <w:highlight w:val="none"/>
        </w:rPr>
        <w:t>-</w:t>
      </w:r>
      <w:r>
        <w:rPr>
          <w:rFonts w:hint="eastAsia"/>
          <w:highlight w:val="none"/>
          <w:lang w:val="en-US" w:eastAsia="zh-CN"/>
        </w:rPr>
        <w:t>022</w:t>
      </w:r>
    </w:p>
    <w:p>
      <w:pPr>
        <w:keepNext w:val="0"/>
        <w:keepLines w:val="0"/>
        <w:pageBreakBefore w:val="0"/>
        <w:kinsoku/>
        <w:wordWrap/>
        <w:overflowPunct/>
        <w:topLinePunct w:val="0"/>
        <w:bidi w:val="0"/>
        <w:snapToGrid/>
        <w:spacing w:line="560" w:lineRule="exact"/>
        <w:ind w:left="0"/>
        <w:jc w:val="both"/>
        <w:textAlignment w:val="auto"/>
      </w:pPr>
      <w:r>
        <w:rPr>
          <w:rFonts w:ascii="Times New Roman" w:hAnsi="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ze3l1AAAAAcBAAAPAAAAAAAAAAEAIAAAACIAAABk&#10;cnMvZG93bnJldi54bWxQSwECFAAUAAAACACHTuJAlzls4QoCAAAHBAAADgAAAAAAAAABACAAAAAj&#10;AQAAZHJzL2Uyb0RvYy54bWxQSwUGAAAAAAYABgBZAQAAnwUAAAAA&#10;">
                <v:fill on="f" focussize="0,0"/>
                <v:stroke weight="4.5pt" color="#FF6600" linestyle="thinThick" joinstyle="round"/>
                <v:imagedata o:title=""/>
                <o:lock v:ext="edit" aspectratio="f"/>
              </v:line>
            </w:pict>
          </mc:Fallback>
        </mc:AlternateConten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Times New Roman"/>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hint="eastAsia" w:ascii="黑体" w:hAnsi="宋体" w:eastAsia="黑体" w:cs="黑体"/>
          <w:b/>
          <w:bCs/>
          <w:color w:val="000000"/>
          <w:kern w:val="0"/>
          <w:sz w:val="32"/>
          <w:szCs w:val="32"/>
          <w:lang w:val="en-US" w:eastAsia="zh-CN" w:bidi="ar"/>
        </w:rPr>
      </w:pPr>
      <w:r>
        <w:rPr>
          <w:rFonts w:hint="eastAsia" w:ascii="Times New Roman" w:hAnsi="Times New Roman"/>
          <w:b/>
          <w:sz w:val="44"/>
          <w:szCs w:val="44"/>
          <w:lang w:val="en-US" w:eastAsia="zh-CN"/>
        </w:rPr>
        <w:t>关于召开202</w:t>
      </w:r>
      <w:r>
        <w:rPr>
          <w:rFonts w:hint="eastAsia"/>
          <w:b/>
          <w:sz w:val="44"/>
          <w:szCs w:val="44"/>
          <w:lang w:val="en-US" w:eastAsia="zh-CN"/>
        </w:rPr>
        <w:t>4</w:t>
      </w:r>
      <w:r>
        <w:rPr>
          <w:rFonts w:hint="eastAsia" w:ascii="Times New Roman" w:hAnsi="Times New Roman"/>
          <w:b/>
          <w:sz w:val="44"/>
          <w:szCs w:val="44"/>
          <w:lang w:val="en-US" w:eastAsia="zh-CN"/>
        </w:rPr>
        <w:t>年第</w:t>
      </w:r>
      <w:r>
        <w:rPr>
          <w:rFonts w:hint="eastAsia"/>
          <w:b/>
          <w:sz w:val="44"/>
          <w:szCs w:val="44"/>
          <w:lang w:val="en-US" w:eastAsia="zh-CN"/>
        </w:rPr>
        <w:t>二</w:t>
      </w:r>
      <w:r>
        <w:rPr>
          <w:rFonts w:hint="eastAsia" w:ascii="Times New Roman" w:hAnsi="Times New Roman"/>
          <w:b/>
          <w:sz w:val="44"/>
          <w:szCs w:val="44"/>
          <w:lang w:val="en-US" w:eastAsia="zh-CN"/>
        </w:rPr>
        <w:t>次临时股东大会的提示性公告</w:t>
      </w:r>
    </w:p>
    <w:p>
      <w:pPr>
        <w:pStyle w:val="6"/>
        <w:keepNext w:val="0"/>
        <w:keepLines w:val="0"/>
        <w:pageBreakBefore w:val="0"/>
        <w:kinsoku/>
        <w:wordWrap/>
        <w:overflowPunct/>
        <w:topLinePunct w:val="0"/>
        <w:bidi w:val="0"/>
        <w:snapToGrid/>
        <w:spacing w:line="560" w:lineRule="exact"/>
        <w:ind w:left="0"/>
        <w:textAlignment w:val="auto"/>
      </w:pP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 w:hAnsi="仿宋" w:eastAsia="仿宋"/>
          <w:b/>
          <w:sz w:val="28"/>
          <w:szCs w:val="28"/>
        </w:rPr>
      </w:pPr>
      <w:r>
        <w:rPr>
          <w:rFonts w:hint="eastAsia" w:ascii="仿宋" w:hAnsi="仿宋" w:eastAsia="仿宋"/>
          <w:b/>
          <w:sz w:val="28"/>
          <w:szCs w:val="28"/>
        </w:rPr>
        <w:t>本公司及董事会全体成员保证信息披露的内容真实、准确、完整，没有虚假记载、误导性陈述或重大遗漏。</w:t>
      </w:r>
    </w:p>
    <w:p>
      <w:pPr>
        <w:keepNext w:val="0"/>
        <w:keepLines w:val="0"/>
        <w:pageBreakBefore w:val="0"/>
        <w:kinsoku/>
        <w:wordWrap/>
        <w:overflowPunct/>
        <w:topLinePunct w:val="0"/>
        <w:bidi w:val="0"/>
        <w:snapToGrid/>
        <w:spacing w:line="560" w:lineRule="exact"/>
        <w:ind w:left="0"/>
        <w:textAlignment w:val="auto"/>
        <w:rPr>
          <w:lang w:val="en-US" w:eastAsia="zh-CN"/>
        </w:rPr>
      </w:pP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吉林电力股份有限公司（以下简称“公司”）第九届董事会第十六次会议决定于2024年4月8日采取现场投票与网络投票相结合的表决方式召开公司2024年第二次临时股东大会，详</w:t>
      </w:r>
      <w:r>
        <w:rPr>
          <w:rFonts w:hint="eastAsia" w:ascii="仿宋" w:hAnsi="仿宋" w:eastAsia="仿宋" w:cs="仿宋"/>
          <w:color w:val="000000"/>
          <w:kern w:val="0"/>
          <w:sz w:val="28"/>
          <w:szCs w:val="28"/>
          <w:highlight w:val="none"/>
          <w:lang w:val="en-US" w:eastAsia="zh-CN" w:bidi="ar"/>
        </w:rPr>
        <w:t>见2024年3月20日</w:t>
      </w:r>
      <w:r>
        <w:rPr>
          <w:rFonts w:ascii="仿宋" w:hAnsi="仿宋" w:eastAsia="仿宋" w:cs="仿宋"/>
          <w:color w:val="000000"/>
          <w:kern w:val="0"/>
          <w:sz w:val="28"/>
          <w:szCs w:val="28"/>
          <w:highlight w:val="none"/>
          <w:lang w:val="en-US" w:eastAsia="zh-CN" w:bidi="ar"/>
        </w:rPr>
        <w:t>刊</w:t>
      </w:r>
      <w:r>
        <w:rPr>
          <w:rFonts w:ascii="仿宋" w:hAnsi="仿宋" w:eastAsia="仿宋" w:cs="仿宋"/>
          <w:color w:val="000000"/>
          <w:kern w:val="0"/>
          <w:sz w:val="28"/>
          <w:szCs w:val="28"/>
          <w:lang w:val="en-US" w:eastAsia="zh-CN" w:bidi="ar"/>
        </w:rPr>
        <w:t>载于《中国证券报》《上海证券报》《证券</w:t>
      </w:r>
      <w:r>
        <w:rPr>
          <w:rFonts w:hint="eastAsia" w:ascii="仿宋" w:hAnsi="仿宋" w:eastAsia="仿宋" w:cs="仿宋"/>
          <w:color w:val="000000"/>
          <w:kern w:val="0"/>
          <w:sz w:val="28"/>
          <w:szCs w:val="28"/>
          <w:lang w:val="en-US" w:eastAsia="zh-CN" w:bidi="ar"/>
        </w:rPr>
        <w:t>时报》和巨潮资讯网站（</w:t>
      </w:r>
      <w:r>
        <w:rPr>
          <w:rFonts w:hint="default" w:ascii="Times New Roman" w:hAnsi="Times New Roman" w:eastAsia="宋体" w:cs="Times New Roman"/>
          <w:color w:val="000000"/>
          <w:kern w:val="0"/>
          <w:sz w:val="28"/>
          <w:szCs w:val="28"/>
          <w:lang w:val="en-US" w:eastAsia="zh-CN" w:bidi="ar"/>
        </w:rPr>
        <w:t>www.cninfo.com.c</w:t>
      </w:r>
      <w:r>
        <w:rPr>
          <w:rFonts w:hint="default" w:ascii="Times New Roman" w:hAnsi="Times New Roman" w:eastAsia="宋体" w:cs="Times New Roman"/>
          <w:color w:val="000000"/>
          <w:kern w:val="0"/>
          <w:sz w:val="28"/>
          <w:szCs w:val="28"/>
          <w:highlight w:val="none"/>
          <w:lang w:val="en-US" w:eastAsia="zh-CN" w:bidi="ar"/>
        </w:rPr>
        <w:t>n</w:t>
      </w:r>
      <w:r>
        <w:rPr>
          <w:rFonts w:hint="eastAsia" w:ascii="仿宋" w:hAnsi="仿宋" w:eastAsia="仿宋" w:cs="仿宋"/>
          <w:color w:val="000000"/>
          <w:kern w:val="0"/>
          <w:sz w:val="28"/>
          <w:szCs w:val="28"/>
          <w:highlight w:val="none"/>
          <w:lang w:val="en-US" w:eastAsia="zh-CN" w:bidi="ar"/>
        </w:rPr>
        <w:t>）上的《</w:t>
      </w:r>
      <w:r>
        <w:rPr>
          <w:rFonts w:hint="eastAsia" w:ascii="仿宋" w:hAnsi="仿宋" w:eastAsia="仿宋" w:cs="仿宋"/>
          <w:b w:val="0"/>
          <w:bCs/>
          <w:sz w:val="28"/>
          <w:szCs w:val="28"/>
        </w:rPr>
        <w:t>关于召开</w:t>
      </w:r>
      <w:r>
        <w:rPr>
          <w:rFonts w:hint="eastAsia" w:ascii="仿宋" w:hAnsi="仿宋" w:eastAsia="仿宋" w:cs="仿宋"/>
          <w:b w:val="0"/>
          <w:bCs/>
          <w:sz w:val="28"/>
          <w:szCs w:val="2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-643890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50.7pt;height:0pt;width:0.05pt;z-index:251660288;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cYe1AAAAAkBAAAPAAAAAAAAAAEAIAAAACIAAABkcnMvZG93bnJldi54bWxQSwECFAAU&#10;AAAACACHTuJAhJwmnvUBAADuAwAADgAAAAAAAAABACAAAAAj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b w:val="0"/>
          <w:bCs/>
          <w:sz w:val="28"/>
          <w:szCs w:val="28"/>
          <w:lang w:eastAsia="zh-CN"/>
        </w:rPr>
        <w:t>202</w:t>
      </w: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lang w:eastAsia="zh-CN"/>
        </w:rPr>
        <w:t>年第</w:t>
      </w:r>
      <w:r>
        <w:rPr>
          <w:rFonts w:hint="eastAsia" w:ascii="仿宋" w:hAnsi="仿宋" w:eastAsia="仿宋" w:cs="仿宋"/>
          <w:b w:val="0"/>
          <w:bCs/>
          <w:sz w:val="28"/>
          <w:szCs w:val="28"/>
          <w:lang w:val="en-US" w:eastAsia="zh-CN"/>
        </w:rPr>
        <w:t>二</w:t>
      </w:r>
      <w:r>
        <w:rPr>
          <w:rFonts w:hint="eastAsia" w:ascii="仿宋" w:hAnsi="仿宋" w:eastAsia="仿宋" w:cs="仿宋"/>
          <w:b w:val="0"/>
          <w:bCs/>
          <w:sz w:val="28"/>
          <w:szCs w:val="28"/>
          <w:lang w:eastAsia="zh-CN"/>
        </w:rPr>
        <w:t>次</w:t>
      </w:r>
      <w:r>
        <w:rPr>
          <w:rFonts w:hint="eastAsia" w:ascii="仿宋" w:hAnsi="仿宋" w:eastAsia="仿宋" w:cs="仿宋"/>
          <w:b w:val="0"/>
          <w:bCs/>
          <w:sz w:val="28"/>
          <w:szCs w:val="28"/>
        </w:rPr>
        <w:t>临时股东大会的通知</w:t>
      </w:r>
      <w:r>
        <w:rPr>
          <w:rFonts w:hint="eastAsia" w:ascii="仿宋" w:hAnsi="仿宋" w:eastAsia="仿宋" w:cs="仿宋"/>
          <w:color w:val="000000"/>
          <w:kern w:val="0"/>
          <w:sz w:val="28"/>
          <w:szCs w:val="28"/>
          <w:lang w:val="en-US" w:eastAsia="zh-CN" w:bidi="ar"/>
        </w:rPr>
        <w:t>》（公告编号：2024-021），现将本次股东大会的召开情况进一步提示如下：</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一、召开会议的基本情况</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1.股东大会届次：公司2024年第二次临时股东大会。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2.会议召集人：公司董事会。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2024年3月19日，公司</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九</w:t>
      </w:r>
      <w:r>
        <w:rPr>
          <w:rFonts w:hint="eastAsia" w:ascii="仿宋" w:hAnsi="仿宋" w:eastAsia="仿宋" w:cs="仿宋"/>
          <w:kern w:val="0"/>
          <w:position w:val="-2"/>
          <w:sz w:val="28"/>
          <w:szCs w:val="28"/>
        </w:rPr>
        <w:t>届</w:t>
      </w:r>
      <w:r>
        <w:rPr>
          <w:rFonts w:hint="eastAsia" w:ascii="仿宋" w:hAnsi="仿宋" w:eastAsia="仿宋" w:cs="仿宋"/>
          <w:kern w:val="0"/>
          <w:position w:val="-2"/>
          <w:sz w:val="28"/>
          <w:szCs w:val="28"/>
          <w:lang w:val="en-US" w:eastAsia="zh-CN"/>
        </w:rPr>
        <w:t>董事会</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十六</w:t>
      </w:r>
      <w:r>
        <w:rPr>
          <w:rFonts w:hint="eastAsia" w:ascii="仿宋" w:hAnsi="仿宋" w:eastAsia="仿宋" w:cs="仿宋"/>
          <w:kern w:val="0"/>
          <w:position w:val="-2"/>
          <w:sz w:val="28"/>
          <w:szCs w:val="28"/>
        </w:rPr>
        <w:t>次会议</w:t>
      </w:r>
      <w:r>
        <w:rPr>
          <w:rFonts w:hint="eastAsia" w:ascii="仿宋" w:hAnsi="仿宋" w:eastAsia="仿宋" w:cs="仿宋"/>
          <w:color w:val="000000"/>
          <w:kern w:val="0"/>
          <w:sz w:val="28"/>
          <w:szCs w:val="28"/>
          <w:lang w:val="en-US" w:eastAsia="zh-CN" w:bidi="ar"/>
        </w:rPr>
        <w:t>审议通过了</w:t>
      </w:r>
      <w:r>
        <w:rPr>
          <w:rFonts w:hint="eastAsia" w:ascii="仿宋" w:hAnsi="仿宋" w:eastAsia="仿宋" w:cs="仿宋"/>
          <w:kern w:val="0"/>
          <w:position w:val="-2"/>
          <w:sz w:val="28"/>
          <w:szCs w:val="28"/>
        </w:rPr>
        <w:t>《关于召开公司</w:t>
      </w:r>
      <w:r>
        <w:rPr>
          <w:rFonts w:hint="eastAsia" w:ascii="仿宋" w:hAnsi="仿宋" w:eastAsia="仿宋" w:cs="仿宋"/>
          <w:kern w:val="0"/>
          <w:position w:val="-2"/>
          <w:sz w:val="28"/>
          <w:szCs w:val="28"/>
          <w:lang w:eastAsia="zh-CN"/>
        </w:rPr>
        <w:t>202</w:t>
      </w:r>
      <w:r>
        <w:rPr>
          <w:rFonts w:hint="eastAsia" w:ascii="仿宋" w:hAnsi="仿宋" w:eastAsia="仿宋" w:cs="仿宋"/>
          <w:kern w:val="0"/>
          <w:position w:val="-2"/>
          <w:sz w:val="28"/>
          <w:szCs w:val="28"/>
          <w:lang w:val="en-US" w:eastAsia="zh-CN"/>
        </w:rPr>
        <w:t>4</w:t>
      </w:r>
      <w:r>
        <w:rPr>
          <w:rFonts w:hint="eastAsia" w:ascii="仿宋" w:hAnsi="仿宋" w:eastAsia="仿宋" w:cs="仿宋"/>
          <w:kern w:val="0"/>
          <w:position w:val="-2"/>
          <w:sz w:val="28"/>
          <w:szCs w:val="28"/>
          <w:lang w:eastAsia="zh-CN"/>
        </w:rPr>
        <w:t>年</w:t>
      </w:r>
      <w:r>
        <w:rPr>
          <w:rFonts w:hint="eastAsia" w:ascii="仿宋" w:hAnsi="仿宋" w:eastAsia="仿宋" w:cs="仿宋"/>
          <w:kern w:val="0"/>
          <w:position w:val="-2"/>
          <w:sz w:val="28"/>
          <w:szCs w:val="28"/>
          <w:lang w:val="en-US" w:eastAsia="zh-CN"/>
        </w:rPr>
        <w:t>第二次临时</w:t>
      </w:r>
      <w:r>
        <w:rPr>
          <w:rFonts w:hint="eastAsia" w:ascii="仿宋" w:hAnsi="仿宋" w:eastAsia="仿宋" w:cs="仿宋"/>
          <w:kern w:val="0"/>
          <w:position w:val="-2"/>
          <w:sz w:val="28"/>
          <w:szCs w:val="28"/>
        </w:rPr>
        <w:t>股东大会的议案》</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3.会议召开的合法、合规性：本次临时股东大会召开符合有关法律、行政法规、部门规章、规范性文件和公司章程的规定。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4.会议召开日期和时间：</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lang w:val="en-US" w:eastAsia="zh-CN" w:bidi="ar"/>
        </w:rPr>
        <w:t>（1）现场会议：</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一</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下午</w:t>
      </w:r>
      <w:r>
        <w:rPr>
          <w:rFonts w:hint="eastAsia" w:ascii="仿宋" w:hAnsi="仿宋" w:eastAsia="仿宋" w:cs="仿宋"/>
          <w:kern w:val="0"/>
          <w:sz w:val="28"/>
          <w:szCs w:val="28"/>
          <w:highlight w:val="none"/>
          <w:lang w:val="en-US" w:eastAsia="zh-CN"/>
        </w:rPr>
        <w:t>14:0</w:t>
      </w:r>
      <w:r>
        <w:rPr>
          <w:rFonts w:hint="eastAsia" w:ascii="仿宋" w:hAnsi="仿宋" w:eastAsia="仿宋" w:cs="仿宋"/>
          <w:kern w:val="0"/>
          <w:sz w:val="28"/>
          <w:szCs w:val="28"/>
          <w:highlight w:val="none"/>
        </w:rPr>
        <w:t>0</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lang w:val="en-US" w:eastAsia="zh-CN" w:bidi="ar"/>
        </w:rPr>
        <w:t>（2）网络投票时间为：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日，其中通过深圳证券交易所交易系统投票的具体时间为：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日上午</w:t>
      </w:r>
      <w:r>
        <w:rPr>
          <w:rFonts w:hint="eastAsia" w:ascii="仿宋" w:hAnsi="仿宋" w:eastAsia="仿宋" w:cs="仿宋"/>
          <w:kern w:val="0"/>
          <w:sz w:val="28"/>
          <w:szCs w:val="28"/>
          <w:highlight w:val="none"/>
          <w:lang w:val="en-US" w:eastAsia="zh-CN"/>
        </w:rPr>
        <w:t>9:15-9:25</w:t>
      </w:r>
      <w:r>
        <w:rPr>
          <w:rFonts w:hint="eastAsia" w:ascii="仿宋" w:hAnsi="仿宋" w:eastAsia="仿宋" w:cs="仿宋"/>
          <w:kern w:val="0"/>
          <w:sz w:val="28"/>
          <w:szCs w:val="28"/>
          <w:highlight w:val="none"/>
        </w:rPr>
        <w:t>，9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11</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和</w:t>
      </w:r>
      <w:r>
        <w:rPr>
          <w:rFonts w:hint="eastAsia" w:ascii="仿宋" w:hAnsi="仿宋" w:eastAsia="仿宋" w:cs="仿宋"/>
          <w:kern w:val="0"/>
          <w:sz w:val="28"/>
          <w:szCs w:val="28"/>
          <w:highlight w:val="none"/>
        </w:rPr>
        <w:t>下午13</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00；通过互联网投票系统（</w:t>
      </w:r>
      <w:r>
        <w:rPr>
          <w:rFonts w:ascii="Times New Roman" w:hAnsi="Times New Roman" w:eastAsia="仿宋"/>
          <w:kern w:val="0"/>
          <w:sz w:val="28"/>
          <w:szCs w:val="28"/>
          <w:highlight w:val="none"/>
        </w:rPr>
        <w:t>http</w:t>
      </w:r>
      <w:r>
        <w:rPr>
          <w:rFonts w:ascii="Times New Roman" w:hAnsi="仿宋" w:eastAsia="仿宋"/>
          <w:kern w:val="0"/>
          <w:sz w:val="28"/>
          <w:szCs w:val="28"/>
          <w:highlight w:val="none"/>
        </w:rPr>
        <w:t>：</w:t>
      </w:r>
      <w:r>
        <w:rPr>
          <w:rFonts w:ascii="Times New Roman" w:hAnsi="Times New Roman" w:eastAsia="仿宋"/>
          <w:kern w:val="0"/>
          <w:sz w:val="28"/>
          <w:szCs w:val="28"/>
          <w:highlight w:val="none"/>
        </w:rPr>
        <w:t>//wltp.cninfo.com.cn</w:t>
      </w:r>
      <w:r>
        <w:rPr>
          <w:rFonts w:hint="eastAsia" w:ascii="仿宋" w:hAnsi="仿宋" w:eastAsia="仿宋" w:cs="仿宋"/>
          <w:kern w:val="0"/>
          <w:sz w:val="28"/>
          <w:szCs w:val="28"/>
          <w:highlight w:val="none"/>
        </w:rPr>
        <w:t>）进行网络投票的具体时间为：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日9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00的任意时间。</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5.会议召开方式：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本次临时股东大会采取现场会议与网络投票相结合的方式召开。公司将通过深圳证券交易所交易系统和互联网投票系统（</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kern w:val="0"/>
          <w:sz w:val="28"/>
          <w:szCs w:val="28"/>
        </w:rPr>
        <w:t>）为股东提供网络投票平台。</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（2）公司股东应选择现场投票或网络投票中的其中一种方式行使表决权，如果同一表决权出现重复投票表决的，以第一次投票表决结果为准。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6.本次会议的股权登记日：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一</w:t>
      </w:r>
      <w:bookmarkStart w:id="0" w:name="_GoBack"/>
      <w:bookmarkEnd w:id="0"/>
      <w:r>
        <w:rPr>
          <w:rFonts w:hint="eastAsia" w:ascii="仿宋" w:hAnsi="仿宋" w:eastAsia="仿宋" w:cs="仿宋"/>
          <w:kern w:val="0"/>
          <w:sz w:val="28"/>
          <w:szCs w:val="28"/>
          <w:highlight w:val="none"/>
        </w:rPr>
        <w:t>）</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7.出席对象：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在股权登记日下午收市时，在中国证券登记结算有限公司深圳分公司登记在册的本公司全体普通股股东均有权出席股东大会，并可以以书面形式委托代理人出席会议和参加表决，该股东代理人不必是本公司股东。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公司董事、监事和高级管理人员。</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公司聘请的律师</w:t>
      </w:r>
      <w:r>
        <w:rPr>
          <w:rFonts w:hint="eastAsia" w:ascii="仿宋" w:hAnsi="仿宋" w:eastAsia="仿宋" w:cs="仿宋"/>
          <w:kern w:val="0"/>
          <w:sz w:val="28"/>
          <w:szCs w:val="28"/>
          <w:lang w:eastAsia="zh-CN"/>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（4）根据相关法规应当出席股东大会的其他人员。</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kern w:val="0"/>
          <w:sz w:val="28"/>
          <w:szCs w:val="28"/>
          <w:highlight w:val="yellow"/>
        </w:rPr>
      </w:pPr>
      <w:r>
        <w:rPr>
          <w:rFonts w:hint="eastAsia" w:ascii="仿宋" w:hAnsi="仿宋" w:eastAsia="仿宋" w:cs="仿宋"/>
          <w:color w:val="000000"/>
          <w:kern w:val="0"/>
          <w:sz w:val="28"/>
          <w:szCs w:val="28"/>
          <w:lang w:val="en-US" w:eastAsia="zh-CN" w:bidi="ar"/>
        </w:rPr>
        <w:t>8.会议地点：</w:t>
      </w:r>
      <w:r>
        <w:rPr>
          <w:rFonts w:ascii="Times New Roman" w:hAnsi="仿宋" w:eastAsia="仿宋" w:cs="Times New Roman"/>
          <w:sz w:val="28"/>
          <w:szCs w:val="28"/>
        </w:rPr>
        <w:t>吉</w:t>
      </w:r>
      <w:r>
        <w:rPr>
          <w:rFonts w:ascii="Times New Roman" w:hAnsi="仿宋" w:eastAsia="仿宋"/>
          <w:sz w:val="28"/>
          <w:szCs w:val="28"/>
        </w:rPr>
        <w:t>林省长春市人民大街</w:t>
      </w:r>
      <w:r>
        <w:rPr>
          <w:rFonts w:ascii="Times New Roman" w:hAnsi="Times New Roman" w:eastAsia="仿宋"/>
          <w:sz w:val="28"/>
          <w:szCs w:val="28"/>
        </w:rPr>
        <w:t>9699</w:t>
      </w:r>
      <w:r>
        <w:rPr>
          <w:rFonts w:ascii="Times New Roman" w:hAnsi="仿宋" w:eastAsia="仿宋"/>
          <w:sz w:val="28"/>
          <w:szCs w:val="28"/>
        </w:rPr>
        <w:t>号</w:t>
      </w:r>
      <w:r>
        <w:rPr>
          <w:rFonts w:hint="eastAsia" w:ascii="仿宋" w:hAnsi="仿宋" w:eastAsia="仿宋" w:cs="仿宋"/>
          <w:kern w:val="0"/>
          <w:sz w:val="28"/>
          <w:szCs w:val="28"/>
        </w:rPr>
        <w:t>，吉林电力股份有限公司三楼会议室</w:t>
      </w:r>
      <w:r>
        <w:rPr>
          <w:rFonts w:hint="eastAsia" w:ascii="仿宋" w:hAnsi="仿宋" w:eastAsia="仿宋" w:cs="仿宋"/>
          <w:kern w:val="0"/>
          <w:sz w:val="28"/>
          <w:szCs w:val="28"/>
          <w:highlight w:val="none"/>
        </w:rPr>
        <w:t>。</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二、会议审议事项</w:t>
      </w:r>
    </w:p>
    <w:p>
      <w:pPr>
        <w:pStyle w:val="3"/>
        <w:adjustRightInd w:val="0"/>
        <w:snapToGrid w:val="0"/>
        <w:ind w:left="0" w:leftChars="0" w:right="1470" w:firstLine="560"/>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1.本次股东大会提案名称及编码表</w:t>
      </w:r>
    </w:p>
    <w:tbl>
      <w:tblPr>
        <w:tblStyle w:val="7"/>
        <w:tblW w:w="10158"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672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6720"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208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6720"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2082"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关于公司所属企业拟接受上海发电设备成套设计研究院有限责任公司提供EPC工程总承包服务暨关联交易的议案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SA"/>
              </w:rPr>
              <w:t>2.00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关于公司所属企业拟接受上海能源科技发展有限公司提供EPC工程总承包服务暨关联交易的议案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lang w:val="en-US" w:eastAsia="zh-CN" w:bidi="ar-SA"/>
              </w:rPr>
              <w:t>3.00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关于提请股东大会延长授权董事会全权办理公司向特定对象发行股票相关事宜有效期的议案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w:t>
            </w:r>
          </w:p>
        </w:tc>
      </w:tr>
    </w:tbl>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2.上述议案已经公司</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董事会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十六</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kern w:val="0"/>
          <w:position w:val="-2"/>
          <w:sz w:val="28"/>
          <w:szCs w:val="28"/>
          <w:lang w:eastAsia="zh-CN"/>
        </w:rPr>
        <w:t>、</w:t>
      </w:r>
      <w:r>
        <w:rPr>
          <w:rFonts w:hint="eastAsia" w:ascii="仿宋" w:hAnsi="仿宋" w:eastAsia="仿宋" w:cs="仿宋"/>
          <w:b w:val="0"/>
          <w:bCs w:val="0"/>
          <w:kern w:val="0"/>
          <w:position w:val="-2"/>
          <w:sz w:val="28"/>
          <w:szCs w:val="28"/>
          <w:lang w:val="en-US" w:eastAsia="zh-CN"/>
        </w:rPr>
        <w:t>第九届监事会第十一次会议</w:t>
      </w:r>
      <w:r>
        <w:rPr>
          <w:rFonts w:hint="eastAsia" w:ascii="仿宋" w:hAnsi="仿宋" w:eastAsia="仿宋" w:cs="仿宋"/>
          <w:b w:val="0"/>
          <w:bCs w:val="0"/>
          <w:color w:val="000000"/>
          <w:kern w:val="0"/>
          <w:sz w:val="28"/>
          <w:szCs w:val="28"/>
          <w:lang w:val="en-US" w:eastAsia="zh-CN" w:bidi="ar"/>
        </w:rPr>
        <w:t>审议通过，</w:t>
      </w:r>
      <w:r>
        <w:rPr>
          <w:rFonts w:hint="eastAsia" w:ascii="仿宋" w:hAnsi="仿宋" w:eastAsia="仿宋" w:cs="仿宋"/>
          <w:color w:val="000000"/>
          <w:kern w:val="0"/>
          <w:sz w:val="28"/>
          <w:szCs w:val="28"/>
          <w:lang w:val="en-US" w:eastAsia="zh-CN" w:bidi="ar"/>
        </w:rPr>
        <w:t>详见公司于</w:t>
      </w:r>
      <w:r>
        <w:rPr>
          <w:rFonts w:hint="eastAsia" w:ascii="仿宋" w:hAnsi="仿宋" w:eastAsia="仿宋" w:cs="仿宋"/>
          <w:color w:val="000000"/>
          <w:kern w:val="0"/>
          <w:sz w:val="28"/>
          <w:szCs w:val="28"/>
          <w:highlight w:val="none"/>
          <w:lang w:val="en-US" w:eastAsia="zh-CN" w:bidi="ar"/>
        </w:rPr>
        <w:t>2024年3月20日</w:t>
      </w:r>
      <w:r>
        <w:rPr>
          <w:rFonts w:ascii="仿宋" w:hAnsi="仿宋" w:eastAsia="仿宋" w:cs="仿宋"/>
          <w:color w:val="000000"/>
          <w:kern w:val="0"/>
          <w:sz w:val="28"/>
          <w:szCs w:val="28"/>
          <w:highlight w:val="none"/>
          <w:lang w:val="en-US" w:eastAsia="zh-CN" w:bidi="ar"/>
        </w:rPr>
        <w:t>刊载</w:t>
      </w:r>
      <w:r>
        <w:rPr>
          <w:rFonts w:ascii="仿宋" w:hAnsi="仿宋" w:eastAsia="仿宋" w:cs="仿宋"/>
          <w:color w:val="000000"/>
          <w:kern w:val="0"/>
          <w:sz w:val="28"/>
          <w:szCs w:val="28"/>
          <w:lang w:val="en-US" w:eastAsia="zh-CN" w:bidi="ar"/>
        </w:rPr>
        <w:t>于《中国证券报》《上海证券报》《证券</w:t>
      </w:r>
      <w:r>
        <w:rPr>
          <w:rFonts w:hint="eastAsia" w:ascii="仿宋" w:hAnsi="仿宋" w:eastAsia="仿宋" w:cs="仿宋"/>
          <w:color w:val="000000"/>
          <w:kern w:val="0"/>
          <w:sz w:val="28"/>
          <w:szCs w:val="28"/>
          <w:lang w:val="en-US" w:eastAsia="zh-CN" w:bidi="ar"/>
        </w:rPr>
        <w:t>时报》和巨潮资讯网</w:t>
      </w:r>
      <w:r>
        <w:rPr>
          <w:rFonts w:hint="eastAsia" w:ascii="仿宋" w:hAnsi="仿宋" w:eastAsia="仿宋" w:cs="仿宋"/>
          <w:color w:val="000000"/>
          <w:kern w:val="0"/>
          <w:sz w:val="28"/>
          <w:szCs w:val="28"/>
          <w:highlight w:val="none"/>
          <w:lang w:val="en-US" w:eastAsia="zh-CN" w:bidi="ar"/>
        </w:rPr>
        <w:t>上的相关公告</w:t>
      </w:r>
      <w:r>
        <w:rPr>
          <w:rFonts w:hint="eastAsia" w:ascii="仿宋" w:hAnsi="仿宋" w:eastAsia="仿宋" w:cs="仿宋"/>
          <w:color w:val="000000"/>
          <w:kern w:val="0"/>
          <w:sz w:val="28"/>
          <w:szCs w:val="28"/>
          <w:lang w:val="en-US" w:eastAsia="zh-CN" w:bidi="ar"/>
        </w:rPr>
        <w:t>。</w:t>
      </w:r>
    </w:p>
    <w:p>
      <w:pPr>
        <w:pStyle w:val="3"/>
        <w:ind w:left="0" w:leftChars="0" w:right="-86" w:rightChars="-41" w:firstLine="560" w:firstLineChars="200"/>
        <w:rPr>
          <w:rFonts w:hint="eastAsia" w:ascii="仿宋" w:hAnsi="仿宋" w:eastAsia="仿宋" w:cs="仿宋"/>
          <w:color w:val="000000"/>
          <w:kern w:val="0"/>
          <w:position w:val="-2"/>
          <w:sz w:val="28"/>
          <w:szCs w:val="28"/>
          <w:lang w:val="en-US" w:eastAsia="zh-CN" w:bidi="ar-SA"/>
        </w:rPr>
      </w:pPr>
      <w:r>
        <w:rPr>
          <w:rFonts w:hint="eastAsia" w:ascii="仿宋" w:hAnsi="仿宋" w:eastAsia="仿宋" w:cs="仿宋"/>
          <w:kern w:val="0"/>
          <w:sz w:val="28"/>
          <w:szCs w:val="28"/>
          <w:lang w:val="en-US" w:eastAsia="zh-CN" w:bidi="ar-SA"/>
        </w:rPr>
        <w:t>3.</w:t>
      </w:r>
      <w:r>
        <w:rPr>
          <w:rFonts w:hint="eastAsia" w:ascii="仿宋" w:hAnsi="仿宋" w:eastAsia="仿宋" w:cs="仿宋"/>
          <w:color w:val="000000"/>
          <w:kern w:val="0"/>
          <w:sz w:val="28"/>
          <w:szCs w:val="28"/>
          <w:lang w:val="en-US" w:eastAsia="zh-CN" w:bidi="ar"/>
        </w:rPr>
        <w:t>提案1.00、提案2.00涉及关联交易，关联股东对上述议案应回避表决</w:t>
      </w:r>
      <w:r>
        <w:rPr>
          <w:rFonts w:hint="eastAsia" w:ascii="仿宋" w:hAnsi="仿宋" w:eastAsia="仿宋" w:cs="仿宋"/>
          <w:color w:val="000000"/>
          <w:kern w:val="0"/>
          <w:position w:val="-2"/>
          <w:sz w:val="28"/>
          <w:szCs w:val="28"/>
          <w:lang w:val="en-US" w:eastAsia="zh-CN" w:bidi="ar-SA"/>
        </w:rPr>
        <w:t>，所持股份不计入有效表决权总数。</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0"/>
        <w:textAlignment w:val="auto"/>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w:t>
      </w:r>
      <w:r>
        <w:rPr>
          <w:rFonts w:hint="eastAsia" w:ascii="仿宋" w:hAnsi="仿宋" w:eastAsia="仿宋" w:cs="仿宋"/>
          <w:kern w:val="0"/>
          <w:sz w:val="28"/>
          <w:szCs w:val="28"/>
          <w:highlight w:val="none"/>
          <w:lang w:val="en-US" w:eastAsia="zh-CN" w:bidi="ar-SA"/>
        </w:rPr>
        <w:t>提案3.00</w:t>
      </w:r>
      <w:r>
        <w:rPr>
          <w:rFonts w:hint="default" w:ascii="仿宋" w:hAnsi="仿宋" w:eastAsia="仿宋" w:cs="仿宋"/>
          <w:kern w:val="0"/>
          <w:sz w:val="28"/>
          <w:szCs w:val="28"/>
          <w:highlight w:val="none"/>
          <w:lang w:val="en-US" w:eastAsia="zh-CN" w:bidi="ar-SA"/>
        </w:rPr>
        <w:t>为股东大会特别决议事项，须经出席股东大会的股东（包括股东代理人）所持表决权的三分之二以上通过。</w:t>
      </w:r>
    </w:p>
    <w:p>
      <w:pPr>
        <w:keepNext w:val="0"/>
        <w:keepLines w:val="0"/>
        <w:pageBreakBefore w:val="0"/>
        <w:kinsoku/>
        <w:wordWrap/>
        <w:overflowPunct/>
        <w:topLinePunct w:val="0"/>
        <w:bidi w:val="0"/>
        <w:adjustRightInd w:val="0"/>
        <w:snapToGrid w:val="0"/>
        <w:spacing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三、出席现场股东大会会议登记方法 </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（一）登记方式：</w:t>
      </w:r>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val="en-US" w:eastAsia="zh-CN" w:bidi="ar"/>
        </w:rPr>
        <w:t>.</w:t>
      </w:r>
      <w:r>
        <w:rPr>
          <w:rFonts w:hint="eastAsia" w:ascii="仿宋" w:hAnsi="仿宋" w:eastAsia="仿宋" w:cs="仿宋"/>
          <w:kern w:val="0"/>
          <w:sz w:val="28"/>
          <w:szCs w:val="28"/>
        </w:rPr>
        <w:t>法人股东应由法定代表人或法定代表人委托的代理人出席会议。法定代表人出席会议的，应持本人身份证、能证明其具有法定代表人资格的有效证明；法人股东的法定代表人委托他人出席会议的，代理人应持本人身份证、法人股东单位的法定代表人依法出具的授权委托书，能证明法定代表人资格的有效证明。</w:t>
      </w:r>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lang w:val="en-US" w:eastAsia="zh-CN" w:bidi="ar"/>
        </w:rPr>
        <w:t>.</w:t>
      </w:r>
      <w:r>
        <w:rPr>
          <w:rFonts w:hint="eastAsia" w:ascii="仿宋" w:hAnsi="仿宋" w:eastAsia="仿宋" w:cs="仿宋"/>
          <w:kern w:val="0"/>
          <w:sz w:val="28"/>
          <w:szCs w:val="28"/>
        </w:rPr>
        <w:t>自然人股东本人出席股东大会，应持股东账户卡、身份证或其他能够表明身份的有效证件或证明；受托他人出席会议的，代理人应持有股东账户卡、股东有效身份证件、股东授权委托书和代理人有效身份证件。</w:t>
      </w:r>
    </w:p>
    <w:p>
      <w:pPr>
        <w:keepNext w:val="0"/>
        <w:keepLines w:val="0"/>
        <w:pageBreakBefore w:val="0"/>
        <w:kinsoku/>
        <w:wordWrap/>
        <w:overflowPunct/>
        <w:topLinePunct w:val="0"/>
        <w:autoSpaceDE w:val="0"/>
        <w:autoSpaceDN w:val="0"/>
        <w:bidi w:val="0"/>
        <w:adjustRightInd w:val="0"/>
        <w:snapToGrid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bidi="ar"/>
        </w:rPr>
        <w:t>3</w:t>
      </w:r>
      <w:r>
        <w:rPr>
          <w:rFonts w:hint="eastAsia" w:ascii="仿宋" w:hAnsi="仿宋" w:eastAsia="仿宋" w:cs="仿宋"/>
          <w:color w:val="000000"/>
          <w:kern w:val="0"/>
          <w:sz w:val="28"/>
          <w:szCs w:val="28"/>
          <w:lang w:val="en-US" w:eastAsia="zh-CN" w:bidi="ar"/>
        </w:rPr>
        <w:t>.</w:t>
      </w:r>
      <w:r>
        <w:rPr>
          <w:rFonts w:hint="eastAsia" w:ascii="仿宋" w:hAnsi="仿宋" w:eastAsia="仿宋" w:cs="仿宋"/>
          <w:kern w:val="0"/>
          <w:sz w:val="28"/>
          <w:szCs w:val="28"/>
        </w:rPr>
        <w:t>出席会议的股东或股东代理人应在会议召开前提前登记，登记可采取在登记地点现场登记、传真方式登记、信函方式登记等方式。</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4.授权委托书见附件 2。 </w:t>
      </w:r>
    </w:p>
    <w:p>
      <w:pPr>
        <w:autoSpaceDE w:val="0"/>
        <w:autoSpaceDN w:val="0"/>
        <w:adjustRightInd w:val="0"/>
        <w:spacing w:line="600" w:lineRule="exact"/>
        <w:ind w:firstLine="560" w:firstLineChars="200"/>
        <w:jc w:val="left"/>
        <w:rPr>
          <w:rFonts w:hint="default" w:ascii="Times New Roman" w:hAnsi="Times New Roman" w:eastAsia="仿宋" w:cs="Times New Roman"/>
          <w:kern w:val="0"/>
          <w:sz w:val="28"/>
          <w:szCs w:val="28"/>
        </w:rPr>
      </w:pPr>
      <w:r>
        <w:rPr>
          <w:rFonts w:hint="eastAsia" w:ascii="仿宋" w:hAnsi="仿宋" w:eastAsia="仿宋" w:cs="仿宋"/>
          <w:color w:val="000000"/>
          <w:kern w:val="0"/>
          <w:sz w:val="28"/>
          <w:szCs w:val="28"/>
          <w:lang w:val="en-US" w:eastAsia="zh-CN" w:bidi="ar"/>
        </w:rPr>
        <w:t>（二）现场登记时间：2024年4月3日（星期三）</w:t>
      </w:r>
      <w:r>
        <w:rPr>
          <w:rFonts w:hint="default" w:ascii="Times New Roman" w:hAnsi="Times New Roman" w:eastAsia="仿宋" w:cs="Times New Roman"/>
          <w:kern w:val="0"/>
          <w:sz w:val="28"/>
          <w:szCs w:val="28"/>
        </w:rPr>
        <w:t>上午10：30—11：30，下午13：30-16:30（信函以收到邮戳日为准）。</w:t>
      </w:r>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bidi="ar"/>
        </w:rPr>
        <w:t>（三）登记地点：</w:t>
      </w:r>
      <w:r>
        <w:rPr>
          <w:rFonts w:hint="eastAsia" w:ascii="仿宋" w:hAnsi="仿宋" w:eastAsia="仿宋" w:cs="仿宋"/>
          <w:kern w:val="0"/>
          <w:sz w:val="28"/>
          <w:szCs w:val="28"/>
        </w:rPr>
        <w:t>吉林省长春市人民大街9699号，吉林电力股份有限公司资本运营部。</w:t>
      </w:r>
    </w:p>
    <w:p>
      <w:pPr>
        <w:keepNext w:val="0"/>
        <w:keepLines w:val="0"/>
        <w:pageBreakBefore w:val="0"/>
        <w:widowControl/>
        <w:numPr>
          <w:ilvl w:val="0"/>
          <w:numId w:val="0"/>
        </w:numPr>
        <w:suppressLineNumbers w:val="0"/>
        <w:kinsoku/>
        <w:wordWrap/>
        <w:overflowPunct/>
        <w:topLinePunct w:val="0"/>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（四）会议联系方式：</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联系人：</w:t>
      </w:r>
      <w:r>
        <w:rPr>
          <w:rFonts w:hint="eastAsia" w:ascii="仿宋" w:hAnsi="仿宋" w:eastAsia="仿宋" w:cs="仿宋"/>
          <w:kern w:val="0"/>
          <w:sz w:val="28"/>
          <w:szCs w:val="28"/>
        </w:rPr>
        <w:t>高雪</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联系电话：</w:t>
      </w:r>
      <w:r>
        <w:rPr>
          <w:rFonts w:hint="eastAsia" w:ascii="仿宋" w:hAnsi="仿宋" w:eastAsia="仿宋" w:cs="仿宋"/>
          <w:kern w:val="0"/>
          <w:sz w:val="28"/>
          <w:szCs w:val="28"/>
        </w:rPr>
        <w:t xml:space="preserve">0431—81150933 </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传真：</w:t>
      </w:r>
      <w:r>
        <w:rPr>
          <w:rFonts w:hint="eastAsia" w:ascii="仿宋" w:hAnsi="仿宋" w:eastAsia="仿宋" w:cs="仿宋"/>
          <w:kern w:val="0"/>
          <w:sz w:val="28"/>
          <w:szCs w:val="28"/>
        </w:rPr>
        <w:t>0431—81150997</w:t>
      </w:r>
    </w:p>
    <w:p>
      <w:pPr>
        <w:keepNext w:val="0"/>
        <w:keepLines w:val="0"/>
        <w:pageBreakBefore w:val="0"/>
        <w:widowControl w:val="0"/>
        <w:kinsoku/>
        <w:wordWrap/>
        <w:overflowPunct/>
        <w:topLinePunct w:val="0"/>
        <w:bidi w:val="0"/>
        <w:snapToGrid/>
        <w:spacing w:line="60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电子邮箱：</w:t>
      </w:r>
      <w:r>
        <w:rPr>
          <w:rFonts w:hint="eastAsia" w:ascii="仿宋" w:hAnsi="仿宋" w:eastAsia="仿宋" w:cs="仿宋"/>
          <w:kern w:val="0"/>
          <w:sz w:val="28"/>
          <w:szCs w:val="28"/>
        </w:rPr>
        <w:t>gaoxue@spic.com.cn</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联系地址：</w:t>
      </w:r>
      <w:r>
        <w:rPr>
          <w:rFonts w:hint="eastAsia" w:ascii="仿宋" w:hAnsi="仿宋" w:eastAsia="仿宋" w:cs="仿宋"/>
          <w:kern w:val="0"/>
          <w:sz w:val="28"/>
          <w:szCs w:val="28"/>
        </w:rPr>
        <w:t>吉林省长春市人民大街9699号</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邮政编码：</w:t>
      </w:r>
      <w:r>
        <w:rPr>
          <w:rFonts w:hint="eastAsia" w:ascii="仿宋" w:hAnsi="仿宋" w:eastAsia="仿宋" w:cs="仿宋"/>
          <w:kern w:val="0"/>
          <w:sz w:val="28"/>
          <w:szCs w:val="28"/>
        </w:rPr>
        <w:t>130022</w:t>
      </w:r>
    </w:p>
    <w:p>
      <w:pPr>
        <w:pStyle w:val="3"/>
        <w:keepNext w:val="0"/>
        <w:keepLines w:val="0"/>
        <w:pageBreakBefore w:val="0"/>
        <w:kinsoku/>
        <w:wordWrap/>
        <w:overflowPunct/>
        <w:topLinePunct w:val="0"/>
        <w:bidi w:val="0"/>
        <w:spacing w:line="600" w:lineRule="exact"/>
        <w:ind w:left="0" w:leftChars="0" w:firstLine="560" w:firstLineChars="200"/>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其他事项</w:t>
      </w:r>
    </w:p>
    <w:p>
      <w:pPr>
        <w:pStyle w:val="3"/>
        <w:keepNext w:val="0"/>
        <w:keepLines w:val="0"/>
        <w:pageBreakBefore w:val="0"/>
        <w:kinsoku/>
        <w:wordWrap/>
        <w:overflowPunct/>
        <w:topLinePunct w:val="0"/>
        <w:bidi w:val="0"/>
        <w:spacing w:line="600" w:lineRule="exact"/>
        <w:ind w:left="0" w:leftChars="0" w:right="-86" w:rightChars="-41"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会期一天</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出席会议者食宿、交通费用自理。</w:t>
      </w:r>
    </w:p>
    <w:p>
      <w:pPr>
        <w:keepNext w:val="0"/>
        <w:keepLines w:val="0"/>
        <w:pageBreakBefore w:val="0"/>
        <w:widowControl/>
        <w:suppressLineNumbers w:val="0"/>
        <w:kinsoku/>
        <w:wordWrap/>
        <w:overflowPunct/>
        <w:topLinePunct w:val="0"/>
        <w:bidi w:val="0"/>
        <w:snapToGrid/>
        <w:spacing w:line="60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在本次股东大会上，股东可以通过深交所交易系统和互联网投票系统（</w:t>
      </w:r>
      <w:r>
        <w:rPr>
          <w:rFonts w:ascii="Times New Roman" w:hAnsi="仿宋" w:eastAsia="仿宋"/>
          <w:kern w:val="0"/>
          <w:sz w:val="28"/>
          <w:szCs w:val="28"/>
        </w:rPr>
        <w:t>网址为</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color w:val="000000"/>
          <w:kern w:val="0"/>
          <w:sz w:val="28"/>
          <w:szCs w:val="28"/>
        </w:rPr>
        <w:t>）参加网络投票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bidi="ar"/>
        </w:rPr>
        <w:t>参加网络投票时涉及的具体操作内容详见本股东大会通知的附件1</w:t>
      </w:r>
      <w:r>
        <w:rPr>
          <w:rFonts w:hint="eastAsia" w:ascii="仿宋" w:hAnsi="仿宋" w:eastAsia="仿宋" w:cs="仿宋"/>
          <w:color w:val="000000"/>
          <w:kern w:val="0"/>
          <w:sz w:val="28"/>
          <w:szCs w:val="28"/>
        </w:rPr>
        <w:t>《参加网络投票的具体操作流程》。</w:t>
      </w:r>
    </w:p>
    <w:p>
      <w:pPr>
        <w:keepNext w:val="0"/>
        <w:keepLines w:val="0"/>
        <w:pageBreakBefore w:val="0"/>
        <w:widowControl/>
        <w:suppressLineNumbers w:val="0"/>
        <w:kinsoku/>
        <w:wordWrap/>
        <w:overflowPunct/>
        <w:topLinePunct w:val="0"/>
        <w:bidi w:val="0"/>
        <w:snapToGrid/>
        <w:spacing w:line="600" w:lineRule="exact"/>
        <w:ind w:left="0" w:firstLine="562" w:firstLineChars="200"/>
        <w:jc w:val="left"/>
        <w:textAlignment w:val="auto"/>
        <w:rPr>
          <w:rFonts w:hint="default" w:ascii="仿宋" w:hAnsi="仿宋" w:eastAsia="仿宋" w:cs="仿宋"/>
          <w:sz w:val="28"/>
          <w:szCs w:val="28"/>
          <w:lang w:val="en-US"/>
        </w:rPr>
      </w:pPr>
      <w:r>
        <w:rPr>
          <w:rFonts w:hint="eastAsia" w:ascii="仿宋" w:hAnsi="仿宋" w:eastAsia="仿宋" w:cs="仿宋"/>
          <w:b/>
          <w:bCs/>
          <w:color w:val="000000"/>
          <w:kern w:val="0"/>
          <w:sz w:val="28"/>
          <w:szCs w:val="28"/>
          <w:lang w:val="en-US" w:eastAsia="zh-CN" w:bidi="ar"/>
        </w:rPr>
        <w:t>五、备查文件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十六</w:t>
      </w:r>
      <w:r>
        <w:rPr>
          <w:rFonts w:hint="eastAsia" w:ascii="仿宋" w:hAnsi="仿宋" w:eastAsia="仿宋" w:cs="仿宋"/>
          <w:kern w:val="0"/>
          <w:sz w:val="28"/>
          <w:szCs w:val="28"/>
        </w:rPr>
        <w:t>次会议决议</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监</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十一</w:t>
      </w:r>
      <w:r>
        <w:rPr>
          <w:rFonts w:hint="eastAsia" w:ascii="仿宋" w:hAnsi="仿宋" w:eastAsia="仿宋" w:cs="仿宋"/>
          <w:kern w:val="0"/>
          <w:sz w:val="28"/>
          <w:szCs w:val="28"/>
        </w:rPr>
        <w:t>次会议决议</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default"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特此公告。</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1：参加网络投票的具体操作流程 </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2：授权委托书 </w:t>
      </w: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rPr>
      </w:pPr>
    </w:p>
    <w:p>
      <w:pPr>
        <w:pStyle w:val="6"/>
        <w:keepNext w:val="0"/>
        <w:keepLines w:val="0"/>
        <w:pageBreakBefore w:val="0"/>
        <w:kinsoku/>
        <w:wordWrap/>
        <w:overflowPunct/>
        <w:topLinePunct w:val="0"/>
        <w:bidi w:val="0"/>
        <w:spacing w:line="600" w:lineRule="exact"/>
        <w:textAlignment w:val="auto"/>
        <w:rPr>
          <w:rFonts w:hint="eastAsia"/>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right"/>
        <w:textAlignment w:val="auto"/>
        <w:rPr>
          <w:rFonts w:hint="eastAsia" w:ascii="仿宋" w:hAnsi="仿宋" w:eastAsia="仿宋" w:cs="仿宋"/>
          <w:kern w:val="0"/>
          <w:sz w:val="28"/>
          <w:szCs w:val="28"/>
        </w:rPr>
      </w:pPr>
      <w:r>
        <w:rPr>
          <w:rFonts w:hint="eastAsia" w:ascii="仿宋" w:hAnsi="仿宋" w:eastAsia="仿宋" w:cs="仿宋"/>
          <w:kern w:val="0"/>
          <w:sz w:val="28"/>
          <w:szCs w:val="28"/>
        </w:rPr>
        <w:t>吉林电力股份有限公司</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w:t>
      </w:r>
    </w:p>
    <w:p>
      <w:pPr>
        <w:autoSpaceDE w:val="0"/>
        <w:autoSpaceDN w:val="0"/>
        <w:adjustRightInd w:val="0"/>
        <w:spacing w:line="560" w:lineRule="exact"/>
        <w:ind w:firstLine="56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二○二</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一</w:t>
      </w:r>
      <w:r>
        <w:rPr>
          <w:rFonts w:hint="eastAsia" w:ascii="仿宋" w:hAnsi="仿宋" w:eastAsia="仿宋" w:cs="仿宋"/>
          <w:kern w:val="0"/>
          <w:sz w:val="28"/>
          <w:szCs w:val="28"/>
        </w:rPr>
        <w:t>日</w:t>
      </w: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br w:type="page"/>
      </w: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附件1</w:t>
      </w:r>
    </w:p>
    <w:p>
      <w:pPr>
        <w:keepNext w:val="0"/>
        <w:keepLines w:val="0"/>
        <w:pageBreakBefore w:val="0"/>
        <w:widowControl/>
        <w:suppressLineNumbers w:val="0"/>
        <w:kinsoku/>
        <w:wordWrap/>
        <w:overflowPunct/>
        <w:topLinePunct w:val="0"/>
        <w:bidi w:val="0"/>
        <w:snapToGrid/>
        <w:spacing w:line="560" w:lineRule="exact"/>
        <w:ind w:left="0"/>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51" w:firstLineChars="196"/>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网络投票的程序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1.投票代码：360875，投票简称：吉电投票。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w:t>
      </w:r>
      <w:r>
        <w:rPr>
          <w:rFonts w:hint="eastAsia" w:ascii="仿宋" w:hAnsi="仿宋" w:eastAsia="仿宋" w:cs="仿宋"/>
          <w:kern w:val="0"/>
          <w:sz w:val="28"/>
          <w:szCs w:val="28"/>
        </w:rPr>
        <w:t>1）填报表决意见。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填报表决意见：同意、反对、弃权。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（2）股东对总议案进行投票，视为对除累积投票议案外的其他所有议案表达相同意见。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通过深交所交易系统投票的程序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1.投票时间：</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4月8日</w:t>
      </w:r>
      <w:r>
        <w:rPr>
          <w:rFonts w:hint="eastAsia" w:ascii="仿宋" w:hAnsi="仿宋" w:eastAsia="仿宋" w:cs="仿宋"/>
          <w:kern w:val="0"/>
          <w:sz w:val="28"/>
          <w:szCs w:val="28"/>
        </w:rPr>
        <w:t>的交易时间，即</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2.股东可以登录证券公司交易客户端通过交易系统投票。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通过深交所互联网投票系统投票的程序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1.互联网投票系统开始投票的时间为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4月8日</w:t>
      </w:r>
      <w:r>
        <w:rPr>
          <w:rFonts w:hint="eastAsia" w:ascii="仿宋" w:hAnsi="仿宋" w:eastAsia="仿宋" w:cs="仿宋"/>
          <w:kern w:val="0"/>
          <w:sz w:val="28"/>
          <w:szCs w:val="28"/>
        </w:rPr>
        <w:t>上午9：15，结束时间为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4月8日</w:t>
      </w:r>
      <w:r>
        <w:rPr>
          <w:rFonts w:hint="eastAsia" w:ascii="仿宋" w:hAnsi="仿宋" w:eastAsia="仿宋" w:cs="仿宋"/>
          <w:kern w:val="0"/>
          <w:sz w:val="28"/>
          <w:szCs w:val="28"/>
        </w:rPr>
        <w:t>下午15:00。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0"/>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规则指引栏目查阅。</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3.股东根据获取的服务密码或数字证书，可登录</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0"/>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在规定时间内通过深交所互联网投票系统进行投票。</w:t>
      </w: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pPr>
      <w:r>
        <w:rPr>
          <w:rFonts w:hint="eastAsia" w:ascii="宋体" w:hAnsi="宋体" w:eastAsia="宋体" w:cs="宋体"/>
          <w:color w:val="000000"/>
          <w:kern w:val="0"/>
          <w:sz w:val="27"/>
          <w:szCs w:val="27"/>
          <w:lang w:val="en-US" w:eastAsia="zh-CN" w:bidi="ar"/>
        </w:rPr>
        <w:t xml:space="preserve">附件 </w:t>
      </w:r>
      <w:r>
        <w:rPr>
          <w:rFonts w:hint="default" w:ascii="Times New Roman" w:hAnsi="Times New Roman" w:eastAsia="宋体" w:cs="Times New Roman"/>
          <w:color w:val="000000"/>
          <w:kern w:val="0"/>
          <w:sz w:val="27"/>
          <w:szCs w:val="27"/>
          <w:lang w:val="en-US" w:eastAsia="zh-CN" w:bidi="ar"/>
        </w:rPr>
        <w:t>2</w:t>
      </w:r>
    </w:p>
    <w:p>
      <w:pPr>
        <w:keepNext w:val="0"/>
        <w:keepLines w:val="0"/>
        <w:pageBreakBefore w:val="0"/>
        <w:kinsoku/>
        <w:wordWrap/>
        <w:overflowPunct/>
        <w:topLinePunct w:val="0"/>
        <w:bidi w:val="0"/>
        <w:snapToGrid/>
        <w:spacing w:line="560" w:lineRule="exact"/>
        <w:ind w:left="0"/>
        <w:jc w:val="center"/>
        <w:textAlignment w:val="auto"/>
        <w:rPr>
          <w:rFonts w:ascii="Times New Roman" w:hAnsi="宋体"/>
          <w:b/>
          <w:sz w:val="44"/>
          <w:szCs w:val="44"/>
        </w:rPr>
      </w:pP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宋体"/>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hint="eastAsia" w:ascii="Times New Roman" w:hAnsi="Times New Roman"/>
          <w:b/>
          <w:sz w:val="44"/>
          <w:szCs w:val="44"/>
          <w:lang w:eastAsia="zh-CN"/>
        </w:rPr>
        <w:t>202</w:t>
      </w:r>
      <w:r>
        <w:rPr>
          <w:rFonts w:hint="eastAsia"/>
          <w:b/>
          <w:sz w:val="44"/>
          <w:szCs w:val="44"/>
          <w:lang w:val="en-US" w:eastAsia="zh-CN"/>
        </w:rPr>
        <w:t>4</w:t>
      </w:r>
      <w:r>
        <w:rPr>
          <w:rFonts w:hint="eastAsia" w:ascii="Times New Roman" w:hAnsi="Times New Roman"/>
          <w:b/>
          <w:sz w:val="44"/>
          <w:szCs w:val="44"/>
          <w:lang w:eastAsia="zh-CN"/>
        </w:rPr>
        <w:t>年</w:t>
      </w:r>
      <w:r>
        <w:rPr>
          <w:rFonts w:hint="eastAsia" w:ascii="Times New Roman" w:hAnsi="Times New Roman"/>
          <w:b/>
          <w:sz w:val="44"/>
          <w:szCs w:val="44"/>
          <w:lang w:val="en-US" w:eastAsia="zh-CN"/>
        </w:rPr>
        <w:t>第</w:t>
      </w:r>
      <w:r>
        <w:rPr>
          <w:rFonts w:hint="eastAsia"/>
          <w:b/>
          <w:sz w:val="44"/>
          <w:szCs w:val="44"/>
          <w:lang w:val="en-US" w:eastAsia="zh-CN"/>
        </w:rPr>
        <w:t>二</w:t>
      </w:r>
      <w:r>
        <w:rPr>
          <w:rFonts w:hint="eastAsia" w:ascii="Times New Roman" w:hAnsi="Times New Roman"/>
          <w:b/>
          <w:sz w:val="44"/>
          <w:szCs w:val="44"/>
          <w:lang w:val="en-US" w:eastAsia="zh-CN"/>
        </w:rPr>
        <w:t>次临时</w:t>
      </w:r>
      <w:r>
        <w:rPr>
          <w:rFonts w:ascii="Times New Roman" w:hAnsi="宋体"/>
          <w:b/>
          <w:sz w:val="44"/>
          <w:szCs w:val="44"/>
        </w:rPr>
        <w:t>股东大会授权委托书</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eastAsia="仿宋"/>
        </w:rPr>
      </w:pPr>
    </w:p>
    <w:p>
      <w:pPr>
        <w:keepNext w:val="0"/>
        <w:keepLines w:val="0"/>
        <w:pageBreakBefore w:val="0"/>
        <w:kinsoku/>
        <w:wordWrap/>
        <w:overflowPunct/>
        <w:topLinePunct w:val="0"/>
        <w:bidi w:val="0"/>
        <w:snapToGrid/>
        <w:spacing w:line="560" w:lineRule="exact"/>
        <w:ind w:left="0"/>
        <w:textAlignment w:val="auto"/>
        <w:rPr>
          <w:rFonts w:ascii="Times New Roman" w:hAnsi="Times New Roman" w:eastAsia="仿宋"/>
          <w:sz w:val="28"/>
          <w:szCs w:val="28"/>
        </w:rPr>
      </w:pPr>
      <w:r>
        <w:rPr>
          <w:rFonts w:ascii="Times New Roman" w:hAnsi="仿宋" w:eastAsia="仿宋"/>
          <w:sz w:val="28"/>
          <w:szCs w:val="28"/>
        </w:rPr>
        <w:t>吉林电力股份有限公司：</w:t>
      </w:r>
    </w:p>
    <w:p>
      <w:pPr>
        <w:keepNext w:val="0"/>
        <w:keepLines w:val="0"/>
        <w:pageBreakBefore w:val="0"/>
        <w:kinsoku/>
        <w:wordWrap/>
        <w:overflowPunct/>
        <w:topLinePunct w:val="0"/>
        <w:bidi w:val="0"/>
        <w:snapToGrid/>
        <w:spacing w:line="560" w:lineRule="exact"/>
        <w:ind w:left="0" w:firstLine="539"/>
        <w:textAlignment w:val="auto"/>
        <w:rPr>
          <w:rFonts w:ascii="Times New Roman" w:hAnsi="Times New Roman" w:eastAsia="仿宋"/>
          <w:sz w:val="28"/>
          <w:szCs w:val="28"/>
        </w:rPr>
      </w:pPr>
      <w:r>
        <w:rPr>
          <w:rFonts w:ascii="Times New Roman" w:hAnsi="仿宋" w:eastAsia="仿宋"/>
          <w:sz w:val="28"/>
          <w:szCs w:val="28"/>
        </w:rPr>
        <w:t>兹委托</w:t>
      </w:r>
      <w:r>
        <w:rPr>
          <w:rFonts w:ascii="Times New Roman" w:hAnsi="Times New Roman" w:eastAsia="仿宋"/>
          <w:sz w:val="28"/>
          <w:szCs w:val="28"/>
          <w:u w:val="single"/>
        </w:rPr>
        <w:t xml:space="preserve">            </w:t>
      </w:r>
      <w:r>
        <w:rPr>
          <w:rFonts w:ascii="Times New Roman" w:hAnsi="仿宋" w:eastAsia="仿宋"/>
          <w:sz w:val="28"/>
          <w:szCs w:val="28"/>
        </w:rPr>
        <w:t>先生</w:t>
      </w:r>
      <w:r>
        <w:rPr>
          <w:rFonts w:ascii="Times New Roman" w:hAnsi="Times New Roman" w:eastAsia="仿宋"/>
          <w:sz w:val="28"/>
          <w:szCs w:val="28"/>
        </w:rPr>
        <w:t>/</w:t>
      </w:r>
      <w:r>
        <w:rPr>
          <w:rFonts w:ascii="Times New Roman" w:hAnsi="仿宋" w:eastAsia="仿宋"/>
          <w:sz w:val="28"/>
          <w:szCs w:val="28"/>
        </w:rPr>
        <w:t>女士（身份证号：</w:t>
      </w:r>
      <w:r>
        <w:rPr>
          <w:rFonts w:ascii="Times New Roman" w:hAnsi="Times New Roman" w:eastAsia="仿宋"/>
          <w:sz w:val="28"/>
          <w:szCs w:val="28"/>
          <w:u w:val="single"/>
        </w:rPr>
        <w:t xml:space="preserve">                     </w:t>
      </w:r>
      <w:r>
        <w:rPr>
          <w:rFonts w:ascii="Times New Roman" w:hAnsi="仿宋" w:eastAsia="仿宋"/>
          <w:sz w:val="28"/>
          <w:szCs w:val="28"/>
        </w:rPr>
        <w:t>）代表本人（</w:t>
      </w:r>
      <w:r>
        <w:rPr>
          <w:rFonts w:ascii="Times New Roman" w:hAnsi="仿宋" w:eastAsia="仿宋"/>
          <w:color w:val="000000"/>
          <w:sz w:val="28"/>
          <w:szCs w:val="28"/>
        </w:rPr>
        <w:t>或单位）出席贵公司于</w:t>
      </w:r>
      <w:r>
        <w:rPr>
          <w:rFonts w:hint="eastAsia" w:ascii="Times New Roman" w:hAnsi="Times New Roman" w:eastAsia="仿宋"/>
          <w:color w:val="000000"/>
          <w:sz w:val="28"/>
          <w:szCs w:val="28"/>
          <w:lang w:eastAsia="zh-CN"/>
        </w:rPr>
        <w:t>202</w:t>
      </w:r>
      <w:r>
        <w:rPr>
          <w:rFonts w:hint="eastAsia" w:eastAsia="仿宋"/>
          <w:color w:val="000000"/>
          <w:sz w:val="28"/>
          <w:szCs w:val="28"/>
          <w:lang w:val="en-US" w:eastAsia="zh-CN"/>
        </w:rPr>
        <w:t>4</w:t>
      </w:r>
      <w:r>
        <w:rPr>
          <w:rFonts w:hint="eastAsia" w:ascii="Times New Roman" w:hAnsi="Times New Roman" w:eastAsia="仿宋"/>
          <w:color w:val="000000"/>
          <w:sz w:val="28"/>
          <w:szCs w:val="28"/>
          <w:lang w:eastAsia="zh-CN"/>
        </w:rPr>
        <w:t>年</w:t>
      </w:r>
      <w:r>
        <w:rPr>
          <w:rFonts w:hint="eastAsia" w:eastAsia="仿宋"/>
          <w:color w:val="000000"/>
          <w:sz w:val="28"/>
          <w:szCs w:val="28"/>
          <w:lang w:val="en-US" w:eastAsia="zh-CN"/>
        </w:rPr>
        <w:t>4</w:t>
      </w:r>
      <w:r>
        <w:rPr>
          <w:rFonts w:hint="eastAsia" w:ascii="Times New Roman" w:hAnsi="Times New Roman" w:eastAsia="仿宋"/>
          <w:kern w:val="0"/>
          <w:sz w:val="28"/>
          <w:szCs w:val="28"/>
          <w:lang w:val="en-US" w:eastAsia="zh-CN"/>
        </w:rPr>
        <w:t>月</w:t>
      </w:r>
      <w:r>
        <w:rPr>
          <w:rFonts w:hint="eastAsia" w:eastAsia="仿宋"/>
          <w:kern w:val="0"/>
          <w:sz w:val="28"/>
          <w:szCs w:val="28"/>
          <w:lang w:val="en-US" w:eastAsia="zh-CN"/>
        </w:rPr>
        <w:t>8</w:t>
      </w:r>
      <w:r>
        <w:rPr>
          <w:rFonts w:hint="eastAsia" w:ascii="Times New Roman" w:hAnsi="Times New Roman" w:eastAsia="仿宋"/>
          <w:kern w:val="0"/>
          <w:sz w:val="28"/>
          <w:szCs w:val="28"/>
          <w:lang w:val="en-US" w:eastAsia="zh-CN"/>
        </w:rPr>
        <w:t>日</w:t>
      </w:r>
      <w:r>
        <w:rPr>
          <w:rFonts w:ascii="Times New Roman" w:hAnsi="仿宋" w:eastAsia="仿宋"/>
          <w:sz w:val="28"/>
          <w:szCs w:val="28"/>
        </w:rPr>
        <w:t>（星期</w:t>
      </w:r>
      <w:r>
        <w:rPr>
          <w:rFonts w:hint="eastAsia" w:hAnsi="仿宋" w:eastAsia="仿宋"/>
          <w:sz w:val="28"/>
          <w:szCs w:val="28"/>
          <w:lang w:val="en-US" w:eastAsia="zh-CN"/>
        </w:rPr>
        <w:t>一</w:t>
      </w:r>
      <w:r>
        <w:rPr>
          <w:rFonts w:ascii="Times New Roman" w:hAnsi="仿宋" w:eastAsia="仿宋"/>
          <w:sz w:val="28"/>
          <w:szCs w:val="28"/>
        </w:rPr>
        <w:t>）在</w:t>
      </w:r>
      <w:r>
        <w:rPr>
          <w:rFonts w:hint="eastAsia" w:ascii="仿宋" w:hAnsi="仿宋" w:eastAsia="仿宋" w:cs="仿宋"/>
          <w:kern w:val="0"/>
          <w:sz w:val="28"/>
          <w:szCs w:val="28"/>
        </w:rPr>
        <w:t>吉林省长春市人民大街9699号</w:t>
      </w:r>
      <w:r>
        <w:rPr>
          <w:rFonts w:ascii="Times New Roman" w:hAnsi="仿宋" w:eastAsia="仿宋"/>
          <w:sz w:val="28"/>
          <w:szCs w:val="28"/>
        </w:rPr>
        <w:t>召开的</w:t>
      </w:r>
      <w:r>
        <w:rPr>
          <w:rFonts w:hint="eastAsia" w:ascii="Times New Roman" w:hAnsi="仿宋" w:eastAsia="仿宋"/>
          <w:sz w:val="28"/>
          <w:szCs w:val="28"/>
        </w:rPr>
        <w:t>202</w:t>
      </w:r>
      <w:r>
        <w:rPr>
          <w:rFonts w:hint="eastAsia" w:hAnsi="仿宋" w:eastAsia="仿宋"/>
          <w:sz w:val="28"/>
          <w:szCs w:val="28"/>
          <w:lang w:val="en-US" w:eastAsia="zh-CN"/>
        </w:rPr>
        <w:t>4</w:t>
      </w:r>
      <w:r>
        <w:rPr>
          <w:rFonts w:hint="eastAsia" w:ascii="Times New Roman" w:hAnsi="仿宋" w:eastAsia="仿宋"/>
          <w:sz w:val="28"/>
          <w:szCs w:val="28"/>
        </w:rPr>
        <w:t>年</w:t>
      </w:r>
      <w:r>
        <w:rPr>
          <w:rFonts w:hint="eastAsia" w:ascii="Times New Roman" w:hAnsi="仿宋" w:eastAsia="仿宋"/>
          <w:sz w:val="28"/>
          <w:szCs w:val="28"/>
          <w:lang w:val="en-US" w:eastAsia="zh-CN"/>
        </w:rPr>
        <w:t>第</w:t>
      </w:r>
      <w:r>
        <w:rPr>
          <w:rFonts w:hint="eastAsia" w:hAnsi="仿宋" w:eastAsia="仿宋"/>
          <w:sz w:val="28"/>
          <w:szCs w:val="28"/>
          <w:lang w:val="en-US" w:eastAsia="zh-CN"/>
        </w:rPr>
        <w:t>二</w:t>
      </w:r>
      <w:r>
        <w:rPr>
          <w:rFonts w:hint="eastAsia" w:ascii="Times New Roman" w:hAnsi="仿宋" w:eastAsia="仿宋"/>
          <w:sz w:val="28"/>
          <w:szCs w:val="28"/>
          <w:lang w:val="en-US" w:eastAsia="zh-CN"/>
        </w:rPr>
        <w:t>次临时</w:t>
      </w:r>
      <w:r>
        <w:rPr>
          <w:rFonts w:hint="eastAsia" w:ascii="Times New Roman" w:hAnsi="仿宋" w:eastAsia="仿宋"/>
          <w:sz w:val="28"/>
          <w:szCs w:val="28"/>
        </w:rPr>
        <w:t>股东</w:t>
      </w:r>
      <w:r>
        <w:rPr>
          <w:rFonts w:ascii="Times New Roman" w:hAnsi="仿宋" w:eastAsia="仿宋"/>
          <w:sz w:val="28"/>
          <w:szCs w:val="28"/>
        </w:rPr>
        <w:t>大会，并授权其对会议议案按下表所示进行表决：</w:t>
      </w:r>
    </w:p>
    <w:tbl>
      <w:tblPr>
        <w:tblStyle w:val="7"/>
        <w:tblpPr w:leftFromText="180" w:rightFromText="180" w:vertAnchor="text" w:horzAnchor="page" w:tblpX="1201" w:tblpY="530"/>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64"/>
        <w:gridCol w:w="1746"/>
        <w:gridCol w:w="804"/>
        <w:gridCol w:w="7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4264"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1746"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c>
          <w:tcPr>
            <w:tcW w:w="2304" w:type="dxa"/>
            <w:gridSpan w:val="3"/>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4264"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1746"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c>
          <w:tcPr>
            <w:tcW w:w="804"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同意</w:t>
            </w:r>
          </w:p>
        </w:tc>
        <w:tc>
          <w:tcPr>
            <w:tcW w:w="73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反对</w:t>
            </w:r>
          </w:p>
        </w:tc>
        <w:tc>
          <w:tcPr>
            <w:tcW w:w="768"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174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仿宋"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关于公司所属企业拟接受上海发电设备成套设计研究院有限责任公司提供EPC工程总承包服务暨关联交易的议案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2.00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Times New Roman" w:eastAsia="仿宋" w:cs="Times New Roman"/>
                <w:color w:val="000000"/>
                <w:kern w:val="0"/>
                <w:sz w:val="24"/>
                <w:szCs w:val="24"/>
              </w:rPr>
            </w:pPr>
            <w:r>
              <w:rPr>
                <w:rFonts w:hint="eastAsia" w:ascii="Times New Roman" w:hAnsi="仿宋" w:eastAsia="仿宋" w:cs="Times New Roman"/>
                <w:color w:val="000000"/>
                <w:kern w:val="0"/>
                <w:sz w:val="24"/>
                <w:szCs w:val="24"/>
              </w:rPr>
              <w:t>关于公司所属企业拟接受上海能源科技发展有限公司提供EPC工程总承包服务暨关联交易的议案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highlight w:val="none"/>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仿宋" w:eastAsia="仿宋" w:cs="Times New Roman"/>
                <w:color w:val="000000"/>
                <w:kern w:val="0"/>
                <w:sz w:val="24"/>
                <w:szCs w:val="24"/>
                <w:highlight w:val="none"/>
                <w:lang w:val="en-US" w:eastAsia="zh-CN" w:bidi="ar-SA"/>
              </w:rPr>
            </w:pPr>
            <w:r>
              <w:rPr>
                <w:rFonts w:hint="eastAsia" w:eastAsia="仿宋" w:cs="Times New Roman"/>
                <w:color w:val="000000"/>
                <w:kern w:val="0"/>
                <w:sz w:val="24"/>
                <w:szCs w:val="24"/>
                <w:highlight w:val="none"/>
                <w:lang w:val="en-US" w:eastAsia="zh-CN"/>
              </w:rPr>
              <w:t>3</w:t>
            </w:r>
            <w:r>
              <w:rPr>
                <w:rFonts w:hint="eastAsia" w:ascii="Times New Roman" w:hAnsi="Times New Roman" w:eastAsia="仿宋" w:cs="Times New Roman"/>
                <w:color w:val="000000"/>
                <w:kern w:val="0"/>
                <w:sz w:val="24"/>
                <w:szCs w:val="24"/>
                <w:highlight w:val="none"/>
                <w:lang w:val="en-US" w:eastAsia="zh-CN"/>
              </w:rPr>
              <w:t>.0</w:t>
            </w:r>
            <w:r>
              <w:rPr>
                <w:rFonts w:hint="eastAsia" w:eastAsia="仿宋" w:cs="Times New Roman"/>
                <w:color w:val="000000"/>
                <w:kern w:val="0"/>
                <w:sz w:val="24"/>
                <w:szCs w:val="24"/>
                <w:highlight w:val="none"/>
                <w:lang w:val="en-US" w:eastAsia="zh-CN"/>
              </w:rPr>
              <w:t>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highlight w:val="none"/>
              </w:rPr>
            </w:pPr>
            <w:r>
              <w:rPr>
                <w:rFonts w:hint="eastAsia" w:ascii="Times New Roman" w:hAnsi="仿宋" w:eastAsia="仿宋" w:cs="Times New Roman"/>
                <w:color w:val="000000"/>
                <w:kern w:val="0"/>
                <w:sz w:val="24"/>
                <w:szCs w:val="24"/>
              </w:rPr>
              <w:t>关于提请股东大会延长授权董事会全权办理公司向特定对象发行股票相关事宜有效期的议案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bl>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4"/>
          <w:szCs w:val="24"/>
        </w:rPr>
      </w:pPr>
      <w:r>
        <w:rPr>
          <w:rFonts w:hint="eastAsia" w:ascii="Times New Roman" w:hAnsi="Times New Roman" w:eastAsia="仿宋"/>
          <w:sz w:val="24"/>
          <w:szCs w:val="24"/>
        </w:rPr>
        <w:t>说明：对本次股东大会提案的明确投票意见指示（可按上表格示列示）；没有明确投票指示的，应当注明是否授权由受托人按自己的意见投票。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委托人</w:t>
      </w:r>
      <w:r>
        <w:rPr>
          <w:rFonts w:ascii="Times New Roman" w:hAnsi="Times New Roman" w:eastAsia="仿宋"/>
          <w:sz w:val="28"/>
          <w:szCs w:val="28"/>
        </w:rPr>
        <w:t>(</w:t>
      </w:r>
      <w:r>
        <w:rPr>
          <w:rFonts w:ascii="Times New Roman" w:hAnsi="仿宋" w:eastAsia="仿宋"/>
          <w:sz w:val="28"/>
          <w:szCs w:val="28"/>
        </w:rPr>
        <w:t>法定代表人</w:t>
      </w:r>
      <w:r>
        <w:rPr>
          <w:rFonts w:ascii="Times New Roman" w:hAnsi="Times New Roman" w:eastAsia="仿宋"/>
          <w:sz w:val="28"/>
          <w:szCs w:val="28"/>
        </w:rPr>
        <w:t>)</w:t>
      </w:r>
      <w:r>
        <w:rPr>
          <w:rFonts w:ascii="Times New Roman" w:hAnsi="仿宋" w:eastAsia="仿宋"/>
          <w:sz w:val="28"/>
          <w:szCs w:val="28"/>
        </w:rPr>
        <w:t>签名</w:t>
      </w:r>
      <w:r>
        <w:rPr>
          <w:rFonts w:hint="eastAsia" w:ascii="Times New Roman" w:hAnsi="仿宋" w:eastAsia="仿宋"/>
          <w:sz w:val="28"/>
          <w:szCs w:val="28"/>
        </w:rPr>
        <w:t>（或盖章）</w:t>
      </w:r>
      <w:r>
        <w:rPr>
          <w:rFonts w:ascii="Times New Roman" w:hAnsi="仿宋" w:eastAsia="仿宋"/>
          <w:sz w:val="28"/>
          <w:szCs w:val="28"/>
        </w:rPr>
        <w:t>：</w:t>
      </w:r>
      <w:r>
        <w:rPr>
          <w:rFonts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股东账户卡号：</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持股性质：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ascii="Times New Roman" w:hAnsi="仿宋" w:eastAsia="仿宋"/>
          <w:sz w:val="28"/>
          <w:szCs w:val="28"/>
        </w:rPr>
        <w:t>持股数</w:t>
      </w:r>
      <w:r>
        <w:rPr>
          <w:rFonts w:hint="eastAsia" w:ascii="Times New Roman" w:hAnsi="仿宋" w:eastAsia="仿宋"/>
          <w:sz w:val="28"/>
          <w:szCs w:val="28"/>
        </w:rPr>
        <w:t>量</w:t>
      </w:r>
      <w:r>
        <w:rPr>
          <w:rFonts w:ascii="Times New Roman" w:hAnsi="仿宋" w:eastAsia="仿宋"/>
          <w:sz w:val="28"/>
          <w:szCs w:val="28"/>
        </w:rPr>
        <w:t>：</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授权有效期限为1天。</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受托人姓名：</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身份证号码：</w:t>
      </w:r>
    </w:p>
    <w:p>
      <w:pPr>
        <w:pStyle w:val="6"/>
        <w:keepNext w:val="0"/>
        <w:keepLines w:val="0"/>
        <w:pageBreakBefore w:val="0"/>
        <w:kinsoku/>
        <w:wordWrap/>
        <w:overflowPunct/>
        <w:topLinePunct w:val="0"/>
        <w:bidi w:val="0"/>
        <w:snapToGrid/>
        <w:spacing w:line="560" w:lineRule="exact"/>
        <w:ind w:left="0" w:leftChars="0" w:firstLine="0" w:firstLineChars="0"/>
        <w:textAlignment w:val="auto"/>
        <w:rPr>
          <w:rFonts w:hint="eastAsia" w:ascii="Times New Roman" w:hAnsi="仿宋" w:eastAsia="仿宋"/>
          <w:sz w:val="28"/>
          <w:szCs w:val="28"/>
        </w:rPr>
      </w:pPr>
    </w:p>
    <w:p>
      <w:pPr>
        <w:pStyle w:val="6"/>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firstLine="5880" w:firstLineChars="2100"/>
        <w:textAlignment w:val="auto"/>
        <w:rPr>
          <w:rFonts w:ascii="Times New Roman" w:hAnsi="Times New Roman" w:eastAsia="仿宋"/>
          <w:sz w:val="28"/>
          <w:szCs w:val="28"/>
        </w:rPr>
      </w:pPr>
      <w:r>
        <w:rPr>
          <w:rFonts w:hint="eastAsia" w:ascii="Times New Roman" w:hAnsi="仿宋" w:eastAsia="仿宋"/>
          <w:sz w:val="28"/>
          <w:szCs w:val="28"/>
        </w:rPr>
        <w:t>（</w:t>
      </w:r>
      <w:r>
        <w:rPr>
          <w:rFonts w:ascii="Times New Roman" w:hAnsi="仿宋" w:eastAsia="仿宋"/>
          <w:sz w:val="28"/>
          <w:szCs w:val="28"/>
        </w:rPr>
        <w:t>公司盖章）</w:t>
      </w:r>
    </w:p>
    <w:p>
      <w:pPr>
        <w:keepNext w:val="0"/>
        <w:keepLines w:val="0"/>
        <w:pageBreakBefore w:val="0"/>
        <w:kinsoku/>
        <w:wordWrap/>
        <w:overflowPunct/>
        <w:topLinePunct w:val="0"/>
        <w:bidi w:val="0"/>
        <w:snapToGrid/>
        <w:spacing w:line="560" w:lineRule="exact"/>
        <w:ind w:left="0" w:firstLine="5600" w:firstLineChars="2000"/>
        <w:textAlignment w:val="auto"/>
        <w:rPr>
          <w:rFonts w:ascii="Times New Roman" w:hAnsi="Times New Roman" w:eastAsia="仿宋"/>
          <w:sz w:val="28"/>
          <w:szCs w:val="28"/>
        </w:rPr>
      </w:pPr>
      <w:r>
        <w:rPr>
          <w:rFonts w:ascii="Times New Roman" w:hAnsi="仿宋" w:eastAsia="仿宋"/>
          <w:sz w:val="28"/>
          <w:szCs w:val="28"/>
        </w:rPr>
        <w:t>年</w:t>
      </w:r>
      <w:r>
        <w:rPr>
          <w:rFonts w:ascii="Times New Roman" w:hAnsi="Times New Roman" w:eastAsia="仿宋"/>
          <w:sz w:val="28"/>
          <w:szCs w:val="28"/>
        </w:rPr>
        <w:t xml:space="preserve">     </w:t>
      </w:r>
      <w:r>
        <w:rPr>
          <w:rFonts w:ascii="Times New Roman" w:hAnsi="仿宋" w:eastAsia="仿宋"/>
          <w:sz w:val="28"/>
          <w:szCs w:val="28"/>
        </w:rPr>
        <w:t>月</w:t>
      </w:r>
      <w:r>
        <w:rPr>
          <w:rFonts w:ascii="Times New Roman" w:hAnsi="Times New Roman" w:eastAsia="仿宋"/>
          <w:sz w:val="28"/>
          <w:szCs w:val="28"/>
        </w:rPr>
        <w:t xml:space="preserve">     </w:t>
      </w:r>
      <w:r>
        <w:rPr>
          <w:rFonts w:ascii="Times New Roman" w:hAnsi="仿宋" w:eastAsia="仿宋"/>
          <w:sz w:val="28"/>
          <w:szCs w:val="28"/>
        </w:rPr>
        <w:t>日</w:t>
      </w:r>
    </w:p>
    <w:p>
      <w:pPr>
        <w:keepNext w:val="0"/>
        <w:keepLines w:val="0"/>
        <w:pageBreakBefore w:val="0"/>
        <w:tabs>
          <w:tab w:val="left" w:pos="847"/>
        </w:tabs>
        <w:kinsoku/>
        <w:wordWrap/>
        <w:overflowPunct/>
        <w:topLinePunct w:val="0"/>
        <w:bidi w:val="0"/>
        <w:snapToGrid/>
        <w:spacing w:line="560" w:lineRule="exact"/>
        <w:ind w:left="0"/>
        <w:jc w:val="left"/>
        <w:textAlignment w:val="auto"/>
        <w:rPr>
          <w:lang w:val="en-US" w:eastAsia="zh-CN"/>
        </w:rPr>
      </w:pPr>
    </w:p>
    <w:p>
      <w:pPr>
        <w:spacing w:line="500" w:lineRule="exact"/>
        <w:ind w:firstLine="5600" w:firstLineChars="2000"/>
        <w:rPr>
          <w:rFonts w:hint="default" w:ascii="Times New Roman" w:hAnsi="Times New Roman" w:eastAsia="仿宋" w:cs="Times New Roman"/>
          <w:sz w:val="28"/>
          <w:szCs w:val="28"/>
        </w:rPr>
      </w:pPr>
    </w:p>
    <w:p>
      <w:pPr>
        <w:rPr>
          <w:rFonts w:hint="eastAsia"/>
          <w:lang w:val="en-US" w:eastAsia="zh-CN"/>
        </w:rPr>
      </w:pPr>
    </w:p>
    <w:sectPr>
      <w:pgSz w:w="11906" w:h="16838"/>
      <w:pgMar w:top="12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719832F8"/>
    <w:rsid w:val="119A4397"/>
    <w:rsid w:val="11A805E7"/>
    <w:rsid w:val="71983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autoRedefine/>
    <w:qFormat/>
    <w:uiPriority w:val="0"/>
    <w:pPr>
      <w:ind w:firstLine="640" w:firstLineChars="200"/>
    </w:pPr>
    <w:rPr>
      <w:sz w:val="32"/>
    </w:rPr>
  </w:style>
  <w:style w:type="paragraph" w:styleId="3">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4">
    <w:name w:val="footer"/>
    <w:basedOn w:val="1"/>
    <w:autoRedefine/>
    <w:unhideWhenUsed/>
    <w:qFormat/>
    <w:uiPriority w:val="99"/>
    <w:pPr>
      <w:tabs>
        <w:tab w:val="center" w:pos="4153"/>
        <w:tab w:val="right" w:pos="8306"/>
      </w:tabs>
      <w:snapToGrid w:val="0"/>
      <w:jc w:val="left"/>
    </w:pPr>
    <w:rPr>
      <w:rFonts w:ascii="Tahoma" w:hAnsi="Tahoma"/>
      <w:kern w:val="0"/>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rFonts w:ascii="Tahoma" w:hAnsi="Tahoma"/>
      <w:kern w:val="0"/>
      <w:sz w:val="18"/>
      <w:szCs w:val="18"/>
    </w:rPr>
  </w:style>
  <w:style w:type="paragraph" w:styleId="6">
    <w:name w:val="Body Text First Indent 2"/>
    <w:basedOn w:val="2"/>
    <w:autoRedefine/>
    <w:qFormat/>
    <w:uiPriority w:val="0"/>
    <w:pPr>
      <w:ind w:firstLine="420" w:firstLineChars="200"/>
    </w:pPr>
    <w:rPr>
      <w:rFonts w:ascii="Times New Roman" w:hAnsi="Times New Roman"/>
    </w:rPr>
  </w:style>
  <w:style w:type="character" w:styleId="9">
    <w:name w:val="page number"/>
    <w:basedOn w:val="8"/>
    <w:autoRedefine/>
    <w:qFormat/>
    <w:uiPriority w:val="0"/>
  </w:style>
  <w:style w:type="character" w:styleId="10">
    <w:name w:val="Hyperlink"/>
    <w:autoRedefine/>
    <w:qFormat/>
    <w:uiPriority w:val="0"/>
    <w:rPr>
      <w:rFonts w:ascii="Tahoma" w:hAnsi="Tahoma"/>
      <w:color w:val="0000FF"/>
      <w:sz w:val="24"/>
      <w:szCs w:val="20"/>
      <w:u w:val="single"/>
    </w:rPr>
  </w:style>
  <w:style w:type="paragraph" w:customStyle="1" w:styleId="11">
    <w:name w:val="_Style 9"/>
    <w:basedOn w:val="1"/>
    <w:autoRedefine/>
    <w:qFormat/>
    <w:uiPriority w:val="0"/>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2024-04-01T01:24:00Z</dcterms:created>
  <dc:creator>WPS_1591103659</dc:creator>
  <cp:lastModifiedBy>WPS_1591103659</cp:lastModifiedBy>
  <dcterms:modified xsi:type="dcterms:W3CDTF">2024-04-01T03:09:10Z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832D6FC34A364A0F804AB42E411F4CF5_11</vt:lpwstr>
  </property>
</Properties>
</file>