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w:t>
      </w:r>
      <w:r>
        <w:rPr>
          <w:rFonts w:hint="eastAsia" w:cs="Times New Roman"/>
          <w:lang w:eastAsia="zh-CN"/>
        </w:rPr>
        <w:t>2024</w:t>
      </w:r>
      <w:r>
        <w:rPr>
          <w:rFonts w:hint="default" w:ascii="Times New Roman" w:hAnsi="Times New Roman" w:cs="Times New Roman"/>
        </w:rPr>
        <w:t>-0</w:t>
      </w:r>
      <w:r>
        <w:rPr>
          <w:rFonts w:hint="eastAsia" w:cs="Times New Roman"/>
          <w:lang w:val="en-US" w:eastAsia="zh-CN"/>
        </w:rPr>
        <w:t>45</w:t>
      </w:r>
    </w:p>
    <w:p>
      <w:pPr>
        <w:jc w:val="center"/>
        <w:rPr>
          <w:rFonts w:hint="default" w:ascii="Times New Roman" w:hAnsi="Times New Roman" w:cs="Times New Roman"/>
          <w:szCs w:val="21"/>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jc w:val="center"/>
        <w:rPr>
          <w:rFonts w:hint="eastAsia" w:ascii="黑体" w:hAnsi="宋体" w:eastAsia="黑体" w:cs="黑体"/>
          <w:b/>
          <w:bCs/>
          <w:color w:val="000000"/>
          <w:kern w:val="0"/>
          <w:sz w:val="32"/>
          <w:szCs w:val="32"/>
          <w:lang w:val="en-US" w:eastAsia="zh-CN" w:bidi="ar"/>
        </w:rPr>
      </w:pPr>
      <w:r>
        <w:rPr>
          <w:rFonts w:hint="default" w:ascii="Times New Roman" w:hAnsi="Times New Roman" w:cs="Times New Roman"/>
          <w:b/>
          <w:sz w:val="44"/>
          <w:szCs w:val="44"/>
        </w:rPr>
        <w:t>关于召开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eastAsia" w:cs="Times New Roman"/>
          <w:b/>
          <w:sz w:val="44"/>
          <w:szCs w:val="44"/>
          <w:lang w:eastAsia="zh-CN"/>
        </w:rPr>
        <w:t>2023</w:t>
      </w:r>
      <w:r>
        <w:rPr>
          <w:rFonts w:hint="default" w:ascii="Times New Roman" w:hAnsi="Times New Roman" w:cs="Times New Roman"/>
          <w:b/>
          <w:sz w:val="44"/>
          <w:szCs w:val="44"/>
        </w:rPr>
        <w:t>年度股东大会</w:t>
      </w:r>
      <w:r>
        <w:rPr>
          <w:rFonts w:hint="eastAsia" w:ascii="Times New Roman" w:hAnsi="Times New Roman"/>
          <w:b/>
          <w:sz w:val="44"/>
          <w:szCs w:val="44"/>
          <w:lang w:val="en-US" w:eastAsia="zh-CN"/>
        </w:rPr>
        <w:t>的提示性公告</w:t>
      </w:r>
    </w:p>
    <w:p>
      <w:pPr>
        <w:jc w:val="center"/>
        <w:rPr>
          <w:rFonts w:hint="default" w:ascii="Times New Roman" w:hAnsi="Times New Roman" w:cs="Times New Roman"/>
          <w:b/>
          <w:sz w:val="44"/>
          <w:szCs w:val="44"/>
        </w:rPr>
      </w:pP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吉林电力股份有限公司（以下简称“公司”）第九届董事会第十八次会议决定于2024年5月28日采取现场投票与网络投票相结合的表决方式召开公司2023年度股东大会，详见2024年5月8</w:t>
      </w:r>
      <w:bookmarkStart w:id="0" w:name="_GoBack"/>
      <w:bookmarkEnd w:id="0"/>
      <w:r>
        <w:rPr>
          <w:rFonts w:hint="eastAsia" w:ascii="仿宋" w:hAnsi="仿宋" w:eastAsia="仿宋" w:cs="仿宋"/>
          <w:b w:val="0"/>
          <w:bCs w:val="0"/>
          <w:color w:val="000000"/>
          <w:kern w:val="0"/>
          <w:sz w:val="28"/>
          <w:szCs w:val="28"/>
          <w:lang w:val="en-US" w:eastAsia="zh-CN" w:bidi="ar"/>
        </w:rPr>
        <w:t>日刊载于《中国证券报》《上海证券报》《证券时报》和巨潮资讯网站（www.cninfo.com.cn）上的《关于召开2023年度股东大会的通知》（公告编号：2024-042），现将本次股东大会的召开情况进一步提示如下：</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1.股东大会届次：公司2023年度股东大会。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2024年5月7日，公司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十八</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2023年</w:t>
      </w:r>
      <w:r>
        <w:rPr>
          <w:rFonts w:hint="eastAsia" w:ascii="仿宋" w:hAnsi="仿宋" w:eastAsia="仿宋" w:cs="仿宋"/>
          <w:kern w:val="0"/>
          <w:position w:val="-2"/>
          <w:sz w:val="28"/>
          <w:szCs w:val="28"/>
          <w:lang w:val="en-US" w:eastAsia="zh-CN"/>
        </w:rPr>
        <w:t>度</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w:t>
      </w:r>
      <w:r>
        <w:rPr>
          <w:rFonts w:hint="eastAsia" w:ascii="仿宋" w:hAnsi="仿宋" w:eastAsia="仿宋" w:cs="仿宋"/>
          <w:color w:val="000000"/>
          <w:kern w:val="0"/>
          <w:sz w:val="28"/>
          <w:szCs w:val="28"/>
          <w:highlight w:val="none"/>
          <w:lang w:val="en-US" w:eastAsia="zh-CN" w:bidi="ar"/>
        </w:rPr>
        <w:t>本次股东大</w:t>
      </w:r>
      <w:r>
        <w:rPr>
          <w:rFonts w:hint="eastAsia" w:ascii="仿宋" w:hAnsi="仿宋" w:eastAsia="仿宋" w:cs="仿宋"/>
          <w:color w:val="000000"/>
          <w:kern w:val="0"/>
          <w:sz w:val="28"/>
          <w:szCs w:val="28"/>
          <w:lang w:val="en-US" w:eastAsia="zh-CN" w:bidi="ar"/>
        </w:rPr>
        <w:t>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lang w:eastAsia="zh-CN"/>
        </w:rPr>
        <w:t>2024年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28</w:t>
      </w:r>
      <w:r>
        <w:rPr>
          <w:rFonts w:hint="eastAsia" w:ascii="仿宋" w:hAnsi="仿宋" w:eastAsia="仿宋" w:cs="仿宋"/>
          <w:kern w:val="0"/>
          <w:sz w:val="28"/>
          <w:szCs w:val="28"/>
        </w:rPr>
        <w:t>日（星期</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下午</w:t>
      </w:r>
      <w:r>
        <w:rPr>
          <w:rFonts w:hint="eastAsia" w:ascii="仿宋" w:hAnsi="仿宋" w:eastAsia="仿宋" w:cs="仿宋"/>
          <w:kern w:val="0"/>
          <w:sz w:val="28"/>
          <w:szCs w:val="28"/>
          <w:lang w:val="en-US" w:eastAsia="zh-CN"/>
        </w:rPr>
        <w:t>13:4</w:t>
      </w:r>
      <w:r>
        <w:rPr>
          <w:rFonts w:hint="eastAsia" w:ascii="仿宋" w:hAnsi="仿宋" w:eastAsia="仿宋" w:cs="仿宋"/>
          <w:kern w:val="0"/>
          <w:sz w:val="28"/>
          <w:szCs w:val="28"/>
        </w:rPr>
        <w:t>0</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（2）网络投票时间为：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，其中通过深圳证券交易所交易系统投票的具体时间为：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上午</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下午13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00；通过互联网投票系统（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）进行网络投票的具体时间为：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lang w:eastAsia="zh-CN"/>
        </w:rPr>
        <w:t>2024年</w:t>
      </w:r>
      <w:r>
        <w:rPr>
          <w:rFonts w:hint="eastAsia" w:ascii="仿宋" w:hAnsi="仿宋" w:eastAsia="仿宋" w:cs="仿宋"/>
          <w:kern w:val="0"/>
          <w:sz w:val="28"/>
          <w:szCs w:val="28"/>
          <w:lang w:val="en-US" w:eastAsia="zh-CN"/>
        </w:rPr>
        <w:t>5月21日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3"/>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7"/>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048"/>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048"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223"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048"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223"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2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年度董事会工作报告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年度监事会工作报告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年度财务决算报告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年度利润分配预案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eastAsia"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公司2024年中期分红</w:t>
            </w:r>
            <w:r>
              <w:rPr>
                <w:rFonts w:hint="eastAsia" w:hAnsi="仿宋" w:eastAsia="仿宋" w:cs="Times New Roman"/>
                <w:color w:val="000000"/>
                <w:kern w:val="0"/>
                <w:sz w:val="24"/>
                <w:szCs w:val="24"/>
                <w:lang w:val="en-US" w:eastAsia="zh-CN"/>
              </w:rPr>
              <w:t>安排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年年度报告及摘要</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7.00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年度财务预算报告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8.00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年度融资计划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9.00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公司2024年度债券发行计划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10.00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年度投资计划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公司与国家电投集团财务有限公司办理存款、贷款业务的议案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2</w:t>
            </w:r>
            <w:r>
              <w:rPr>
                <w:rFonts w:hint="eastAsia" w:ascii="Times New Roman" w:hAnsi="Times New Roman" w:eastAsia="仿宋" w:cs="Times New Roman"/>
                <w:color w:val="000000"/>
                <w:kern w:val="0"/>
                <w:sz w:val="24"/>
                <w:szCs w:val="24"/>
                <w:lang w:val="en-US" w:eastAsia="zh-CN" w:bidi="ar-SA"/>
              </w:rPr>
              <w:t>.00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关于前次募集资金使用情况报告的议案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.00</w:t>
            </w:r>
          </w:p>
        </w:tc>
        <w:tc>
          <w:tcPr>
            <w:tcW w:w="604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年度预计日常关联交易事项的议案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r>
              <w:rPr>
                <w:rFonts w:hint="eastAsia" w:ascii="仿宋" w:hAnsi="仿宋" w:eastAsia="仿宋" w:cs="Times New Roman"/>
                <w:kern w:val="2"/>
                <w:sz w:val="24"/>
                <w:szCs w:val="24"/>
                <w:lang w:val="en-US" w:eastAsia="zh-CN" w:bidi="ar"/>
              </w:rPr>
              <w:t>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.01</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关于采购内蒙古电投能源股份有限公司及其所属公司煤炭的议案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.02</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关于采购内蒙古白音华蒙东露天煤业有限公司、国家电投集团内蒙古白音华煤电有限公司露天矿煤炭的议案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13.03</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关于拟接受国家电力投资集团有限公司物资装备分公司物资配送服务的议案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14.00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关于投资建设山东潍坊风光储多能互补试点项目首批二期250兆瓦风电项目的议案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15.00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w:t>
            </w:r>
            <w:r>
              <w:rPr>
                <w:rFonts w:hint="eastAsia" w:hAnsi="仿宋" w:eastAsia="仿宋" w:cs="Times New Roman"/>
                <w:color w:val="000000"/>
                <w:kern w:val="0"/>
                <w:sz w:val="24"/>
                <w:szCs w:val="24"/>
                <w:lang w:val="en-US" w:eastAsia="zh-CN"/>
              </w:rPr>
              <w:t>选举</w:t>
            </w:r>
            <w:r>
              <w:rPr>
                <w:rFonts w:hint="eastAsia" w:ascii="Times New Roman" w:hAnsi="仿宋" w:eastAsia="仿宋" w:cs="Times New Roman"/>
                <w:color w:val="000000"/>
                <w:kern w:val="0"/>
                <w:sz w:val="24"/>
                <w:szCs w:val="24"/>
              </w:rPr>
              <w:t>杨玉峰先生为公司第九届董事会股东代表董事的议案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十七</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监事会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十二</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十八</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2024年4月30日、2024年5月8日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3"/>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color w:val="000000"/>
          <w:kern w:val="0"/>
          <w:sz w:val="28"/>
          <w:szCs w:val="28"/>
          <w:lang w:val="en-US" w:eastAsia="zh-CN" w:bidi="ar"/>
        </w:rPr>
        <w:t>3.提案11.00、13.00涉及关联交易，关联股东对上述议案应回避表决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pStyle w:val="3"/>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color w:val="000000"/>
          <w:kern w:val="0"/>
          <w:position w:val="-2"/>
          <w:sz w:val="28"/>
          <w:szCs w:val="28"/>
          <w:lang w:val="en-US" w:eastAsia="zh-CN" w:bidi="ar-SA"/>
        </w:rPr>
        <w:t>4.公司独立董事将在本次年度股东大会上进行述职。</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（二）现场登记时间：2024年5月23日</w:t>
      </w:r>
      <w:r>
        <w:rPr>
          <w:rFonts w:hint="default" w:ascii="Times New Roman" w:hAnsi="Times New Roman" w:eastAsia="仿宋" w:cs="Times New Roman"/>
          <w:kern w:val="0"/>
          <w:sz w:val="28"/>
          <w:szCs w:val="28"/>
        </w:rPr>
        <w:t>上</w:t>
      </w:r>
      <w:r>
        <w:rPr>
          <w:rFonts w:hint="eastAsia" w:ascii="仿宋" w:hAnsi="仿宋" w:eastAsia="仿宋" w:cs="仿宋"/>
          <w:color w:val="000000"/>
          <w:kern w:val="0"/>
          <w:sz w:val="28"/>
          <w:szCs w:val="28"/>
          <w:lang w:bidi="ar"/>
        </w:rPr>
        <w:t>午10：30—11：30，下午13</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bidi="ar"/>
        </w:rPr>
        <w:t>30-16:30（信函以收到邮戳日为准）。</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3"/>
        <w:spacing w:line="600" w:lineRule="exact"/>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3"/>
        <w:spacing w:line="600" w:lineRule="exact"/>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十八</w:t>
      </w:r>
      <w:r>
        <w:rPr>
          <w:rFonts w:hint="eastAsia" w:ascii="仿宋" w:hAnsi="仿宋" w:eastAsia="仿宋" w:cs="仿宋"/>
          <w:kern w:val="0"/>
          <w:sz w:val="28"/>
          <w:szCs w:val="28"/>
        </w:rPr>
        <w:t>次会议决议</w:t>
      </w:r>
    </w:p>
    <w:p>
      <w:pPr>
        <w:pStyle w:val="3"/>
        <w:rPr>
          <w:rFonts w:hint="eastAsia"/>
        </w:rPr>
      </w:pPr>
    </w:p>
    <w:p>
      <w:pPr>
        <w:pStyle w:val="3"/>
        <w:spacing w:line="600" w:lineRule="exact"/>
        <w:rPr>
          <w:rFonts w:hint="eastAsia"/>
          <w:lang w:val="en-US" w:eastAsia="zh-CN"/>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3"/>
        <w:spacing w:line="600" w:lineRule="exact"/>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6"/>
        <w:spacing w:line="600" w:lineRule="exact"/>
        <w:jc w:val="right"/>
        <w:rPr>
          <w:rFonts w:hint="eastAsia"/>
        </w:rPr>
      </w:pPr>
      <w:r>
        <w:rPr>
          <w:rFonts w:ascii="仿宋" w:hAnsi="仿宋" w:eastAsia="仿宋"/>
          <w:kern w:val="0"/>
          <w:sz w:val="28"/>
          <w:szCs w:val="28"/>
        </w:rPr>
        <w:t>二○二</w:t>
      </w:r>
      <w:r>
        <w:rPr>
          <w:rFonts w:hint="eastAsia" w:ascii="仿宋" w:hAnsi="仿宋" w:eastAsia="仿宋"/>
          <w:kern w:val="0"/>
          <w:sz w:val="28"/>
          <w:szCs w:val="28"/>
          <w:lang w:val="en-US" w:eastAsia="zh-CN"/>
        </w:rPr>
        <w:t>四</w:t>
      </w:r>
      <w:r>
        <w:rPr>
          <w:rFonts w:ascii="仿宋" w:hAnsi="仿宋" w:eastAsia="仿宋"/>
          <w:kern w:val="0"/>
          <w:sz w:val="28"/>
          <w:szCs w:val="28"/>
        </w:rPr>
        <w:t>年</w:t>
      </w:r>
      <w:r>
        <w:rPr>
          <w:rFonts w:hint="eastAsia" w:ascii="仿宋" w:hAnsi="仿宋" w:eastAsia="仿宋"/>
          <w:kern w:val="0"/>
          <w:sz w:val="28"/>
          <w:szCs w:val="28"/>
          <w:lang w:val="en-US" w:eastAsia="zh-CN"/>
        </w:rPr>
        <w:t>五</w:t>
      </w:r>
      <w:r>
        <w:rPr>
          <w:rFonts w:ascii="仿宋" w:hAnsi="仿宋" w:eastAsia="仿宋"/>
          <w:kern w:val="0"/>
          <w:sz w:val="28"/>
          <w:szCs w:val="28"/>
        </w:rPr>
        <w:t>月</w:t>
      </w:r>
      <w:r>
        <w:rPr>
          <w:rFonts w:hint="eastAsia" w:ascii="仿宋" w:hAnsi="仿宋" w:eastAsia="仿宋"/>
          <w:kern w:val="0"/>
          <w:sz w:val="28"/>
          <w:szCs w:val="28"/>
          <w:lang w:val="en-US" w:eastAsia="zh-CN"/>
        </w:rPr>
        <w:t>二十一</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上午9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15，结束时间为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宋体" w:hAnsi="宋体" w:eastAsia="宋体" w:cs="宋体"/>
          <w:color w:val="000000"/>
          <w:kern w:val="0"/>
          <w:sz w:val="27"/>
          <w:szCs w:val="27"/>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b/>
          <w:sz w:val="44"/>
          <w:szCs w:val="44"/>
          <w:lang w:eastAsia="zh-CN"/>
        </w:rPr>
        <w:t>2023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度</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w:t>
      </w:r>
      <w:r>
        <w:rPr>
          <w:rFonts w:ascii="Times New Roman" w:hAnsi="仿宋" w:eastAsia="仿宋" w:cs="Times New Roman"/>
          <w:color w:val="000000"/>
          <w:sz w:val="28"/>
          <w:szCs w:val="28"/>
        </w:rPr>
        <w:t>席贵公司于</w:t>
      </w:r>
      <w:r>
        <w:rPr>
          <w:rFonts w:hint="eastAsia" w:hAnsi="仿宋" w:eastAsia="仿宋" w:cs="Times New Roman"/>
          <w:kern w:val="2"/>
          <w:sz w:val="28"/>
          <w:szCs w:val="28"/>
          <w:lang w:eastAsia="zh-CN"/>
        </w:rPr>
        <w:t>2024年5月2</w:t>
      </w:r>
      <w:r>
        <w:rPr>
          <w:rFonts w:hint="eastAsia" w:hAnsi="仿宋" w:eastAsia="仿宋" w:cs="Times New Roman"/>
          <w:kern w:val="2"/>
          <w:sz w:val="28"/>
          <w:szCs w:val="28"/>
          <w:lang w:val="en-US" w:eastAsia="zh-CN"/>
        </w:rPr>
        <w:t>8</w:t>
      </w:r>
      <w:r>
        <w:rPr>
          <w:rFonts w:hint="eastAsia" w:hAnsi="仿宋" w:eastAsia="仿宋" w:cs="Times New Roman"/>
          <w:kern w:val="2"/>
          <w:sz w:val="28"/>
          <w:szCs w:val="28"/>
          <w:lang w:eastAsia="zh-CN"/>
        </w:rPr>
        <w:t>日</w:t>
      </w:r>
      <w:r>
        <w:rPr>
          <w:rFonts w:ascii="Times New Roman" w:hAnsi="仿宋" w:eastAsia="仿宋" w:cs="Times New Roman"/>
          <w:sz w:val="28"/>
          <w:szCs w:val="28"/>
        </w:rPr>
        <w:t>（星期</w:t>
      </w:r>
      <w:r>
        <w:rPr>
          <w:rFonts w:hint="eastAsia" w:hAnsi="仿宋" w:eastAsia="仿宋" w:cs="Times New Roman"/>
          <w:sz w:val="28"/>
          <w:szCs w:val="28"/>
          <w:lang w:val="en-US" w:eastAsia="zh-CN"/>
        </w:rPr>
        <w:t>二</w:t>
      </w:r>
      <w:r>
        <w:rPr>
          <w:rFonts w:ascii="Times New Roman" w:hAnsi="仿宋" w:eastAsia="仿宋" w:cs="Times New Roman"/>
          <w:sz w:val="28"/>
          <w:szCs w:val="28"/>
        </w:rPr>
        <w:t>）在吉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hAnsi="仿宋" w:eastAsia="仿宋"/>
          <w:sz w:val="28"/>
          <w:szCs w:val="28"/>
          <w:lang w:eastAsia="zh-CN"/>
        </w:rPr>
        <w:t>2023</w:t>
      </w:r>
      <w:r>
        <w:rPr>
          <w:rFonts w:hint="eastAsia" w:ascii="Times New Roman" w:hAnsi="仿宋" w:eastAsia="仿宋"/>
          <w:sz w:val="28"/>
          <w:szCs w:val="28"/>
        </w:rPr>
        <w:t>年度股东</w:t>
      </w:r>
      <w:r>
        <w:rPr>
          <w:rFonts w:ascii="Times New Roman" w:hAnsi="仿宋" w:eastAsia="仿宋"/>
          <w:sz w:val="28"/>
          <w:szCs w:val="28"/>
        </w:rPr>
        <w:t>大会，并授权其对会议议案按下表所示进行表决：</w:t>
      </w:r>
    </w:p>
    <w:tbl>
      <w:tblPr>
        <w:tblStyle w:val="7"/>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仿宋"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年度董事会工作报告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年度监事会工作报告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年度财务决算报告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年度利润分配预案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公司2024年中期分红</w:t>
            </w:r>
            <w:r>
              <w:rPr>
                <w:rFonts w:hint="eastAsia" w:hAnsi="仿宋" w:eastAsia="仿宋" w:cs="Times New Roman"/>
                <w:color w:val="000000"/>
                <w:kern w:val="0"/>
                <w:sz w:val="24"/>
                <w:szCs w:val="24"/>
                <w:lang w:val="en-US" w:eastAsia="zh-CN"/>
              </w:rPr>
              <w:t>安排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年年度报告及摘要</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7.00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年度财务预算报告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8.00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年度融资计划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9.00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公司2024年度债券发行计划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10.00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年度投资计划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公司与国家电投集团财务有限公司办理存款、贷款业务的议案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2</w:t>
            </w:r>
            <w:r>
              <w:rPr>
                <w:rFonts w:hint="eastAsia" w:ascii="Times New Roman" w:hAnsi="Times New Roman" w:eastAsia="仿宋" w:cs="Times New Roman"/>
                <w:color w:val="000000"/>
                <w:kern w:val="0"/>
                <w:sz w:val="24"/>
                <w:szCs w:val="24"/>
                <w:lang w:val="en-US" w:eastAsia="zh-CN" w:bidi="ar-SA"/>
              </w:rPr>
              <w:t>.00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关于前次募集资金使用情况报告的议案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.00</w:t>
            </w:r>
          </w:p>
        </w:tc>
        <w:tc>
          <w:tcPr>
            <w:tcW w:w="42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年度预计日常关联交易事项的议案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eastAsia" w:ascii="仿宋" w:hAnsi="仿宋" w:eastAsia="仿宋" w:cs="Times New Roman"/>
                <w:kern w:val="2"/>
                <w:sz w:val="24"/>
                <w:szCs w:val="24"/>
                <w:lang w:val="en-US" w:eastAsia="zh-CN" w:bidi="ar"/>
              </w:rPr>
              <w:t>作为投票对象的子议案数：（3）</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.01</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关于采购内蒙古电投能源股份有限公司及其所属公司煤炭的议案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.02</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关于采购内蒙古白音华蒙东露天煤业有限公司、国家电投集团内蒙古白音华煤电有限公司露天矿煤炭的议案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13.03</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关于拟接受国家电力投资集团有限公司物资装备分公司物资配送服务的议案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关于投资建设山东潍坊风光储多能互补试点项目首批二期250兆瓦风电项目的议案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w:t>
            </w:r>
            <w:r>
              <w:rPr>
                <w:rFonts w:hint="eastAsia" w:hAnsi="仿宋" w:eastAsia="仿宋" w:cs="Times New Roman"/>
                <w:color w:val="000000"/>
                <w:kern w:val="0"/>
                <w:sz w:val="24"/>
                <w:szCs w:val="24"/>
                <w:lang w:val="en-US" w:eastAsia="zh-CN"/>
              </w:rPr>
              <w:t>选举</w:t>
            </w:r>
            <w:r>
              <w:rPr>
                <w:rFonts w:hint="eastAsia" w:ascii="Times New Roman" w:hAnsi="仿宋" w:eastAsia="仿宋" w:cs="Times New Roman"/>
                <w:color w:val="000000"/>
                <w:kern w:val="0"/>
                <w:sz w:val="24"/>
                <w:szCs w:val="24"/>
              </w:rPr>
              <w:t>杨玉峰先生为公司第九届董事会股东代表董事的议案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6"/>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6"/>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21274639"/>
    <w:rsid w:val="02423B32"/>
    <w:rsid w:val="21274639"/>
    <w:rsid w:val="7986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sz w:val="32"/>
    </w:rPr>
  </w:style>
  <w:style w:type="paragraph" w:styleId="3">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4">
    <w:name w:val="footer"/>
    <w:basedOn w:val="1"/>
    <w:unhideWhenUsed/>
    <w:qFormat/>
    <w:uiPriority w:val="99"/>
    <w:pPr>
      <w:tabs>
        <w:tab w:val="center" w:pos="4153"/>
        <w:tab w:val="right" w:pos="8306"/>
      </w:tabs>
      <w:snapToGrid w:val="0"/>
      <w:jc w:val="left"/>
    </w:pPr>
    <w:rPr>
      <w:rFonts w:ascii="Tahoma" w:hAnsi="Tahoma"/>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6">
    <w:name w:val="Body Text First Indent 2"/>
    <w:basedOn w:val="2"/>
    <w:autoRedefine/>
    <w:qFormat/>
    <w:uiPriority w:val="0"/>
    <w:pPr>
      <w:ind w:firstLine="420" w:firstLineChars="200"/>
    </w:pPr>
    <w:rPr>
      <w:rFonts w:ascii="Times New Roman" w:hAnsi="Times New Roman"/>
    </w:rPr>
  </w:style>
  <w:style w:type="character" w:styleId="9">
    <w:name w:val="page number"/>
    <w:basedOn w:val="8"/>
    <w:autoRedefine/>
    <w:qFormat/>
    <w:uiPriority w:val="0"/>
  </w:style>
  <w:style w:type="character" w:styleId="10">
    <w:name w:val="Hyperlink"/>
    <w:qFormat/>
    <w:uiPriority w:val="0"/>
    <w:rPr>
      <w:rFonts w:ascii="Tahoma" w:hAnsi="Tahoma"/>
      <w:color w:val="0000FF"/>
      <w:sz w:val="24"/>
      <w:szCs w:val="20"/>
      <w:u w:val="single"/>
    </w:rPr>
  </w:style>
  <w:style w:type="paragraph" w:customStyle="1" w:styleId="11">
    <w:name w:val="_Style 9"/>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2024-05-14T09:13:00Z</dcterms:created>
  <dc:creator>WPS_1591103659</dc:creator>
  <cp:lastModifiedBy>WPS_1591103659</cp:lastModifiedBy>
  <cp:lastPrinted>2024-05-21T02:32:47Z</cp:lastPrinted>
  <dcterms:modified xsi:type="dcterms:W3CDTF">2024-05-21T02:34:37Z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A2232924B36E413FA9C604734C67E81F_11</vt:lpwstr>
  </property>
</Properties>
</file>