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</w:rPr>
        <w:t>证券代码：00087</w:t>
      </w:r>
      <w:r>
        <w:rPr>
          <w:rFonts w:hint="eastAsia" w:ascii="Times New Roman" w:hAnsi="Times New Roman"/>
          <w:sz w:val="21"/>
          <w:szCs w:val="21"/>
        </w:rPr>
        <w:t xml:space="preserve">5            </w:t>
      </w:r>
      <w:r>
        <w:rPr>
          <w:rFonts w:ascii="Times New Roman" w:hAnsi="Times New Roman"/>
          <w:sz w:val="21"/>
          <w:szCs w:val="21"/>
        </w:rPr>
        <w:t>证券简称：吉电股份</w:t>
      </w:r>
      <w:r>
        <w:rPr>
          <w:rFonts w:hint="eastAsia" w:ascii="Times New Roman" w:hAnsi="Times New Roman"/>
          <w:sz w:val="21"/>
          <w:szCs w:val="21"/>
        </w:rPr>
        <w:t xml:space="preserve">            </w:t>
      </w:r>
      <w:r>
        <w:rPr>
          <w:rFonts w:ascii="Times New Roman" w:hAnsi="Times New Roman"/>
          <w:sz w:val="21"/>
          <w:szCs w:val="21"/>
        </w:rPr>
        <w:t>公告编号：</w:t>
      </w:r>
      <w:r>
        <w:rPr>
          <w:rFonts w:hint="eastAsia" w:ascii="Times New Roman" w:hAnsi="Times New Roman"/>
          <w:sz w:val="21"/>
          <w:szCs w:val="21"/>
        </w:rPr>
        <w:t>2024</w:t>
      </w:r>
      <w:r>
        <w:rPr>
          <w:rFonts w:ascii="Times New Roman" w:hAnsi="Times New Roman"/>
          <w:sz w:val="21"/>
          <w:szCs w:val="21"/>
        </w:rPr>
        <w:t>-0</w:t>
      </w:r>
      <w:r>
        <w:rPr>
          <w:rFonts w:hint="eastAsia" w:ascii="Times New Roman" w:hAnsi="Times New Roman"/>
          <w:sz w:val="21"/>
          <w:szCs w:val="21"/>
        </w:rPr>
        <w:t>3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3</w:t>
      </w:r>
    </w:p>
    <w:p>
      <w:pPr>
        <w:jc w:val="left"/>
        <w:rPr>
          <w:b/>
          <w:sz w:val="44"/>
          <w:szCs w:val="44"/>
        </w:rPr>
      </w:pPr>
      <w:r>
        <w:rPr>
          <w:rFonts w:ascii="Times New Roman" w:hAnsi="Times New Roman"/>
          <w:color w:val="FF66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76200</wp:posOffset>
                </wp:positionV>
                <wp:extent cx="5417820" cy="22860"/>
                <wp:effectExtent l="0" t="28575" r="7620" b="4000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2286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5.4pt;margin-top:6pt;height:1.8pt;width:426.6pt;z-index:251659264;mso-width-relative:page;mso-height-relative:page;" filled="f" stroked="t" coordsize="21600,21600" o:gfxdata="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1BwWz9YAAAAJAQAA&#10;DwAAAAAAAAABACAAAAAiAAAAZHJzL2Rvd25yZXYueG1sUEsBAhQAFAAAAAgAh07iQA4GX/ziAQAA&#10;4gMAAA4AAAAAAAAAAQAgAAAAJQEAAGRycy9lMm9Eb2MueG1sUEsFBgAAAAAGAAYAWQEAAHkFAAAA&#10;AA==&#10;">
                <v:fill on="f" focussize="0,0"/>
                <v:stroke weight="4.5pt" color="#FF66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/>
          <w:b/>
          <w:sz w:val="44"/>
          <w:szCs w:val="44"/>
        </w:rPr>
        <w:t>吉林电力股份有限公司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关于2024</w:t>
      </w:r>
      <w:r>
        <w:rPr>
          <w:rFonts w:ascii="Times New Roman"/>
          <w:b/>
          <w:sz w:val="44"/>
          <w:szCs w:val="44"/>
        </w:rPr>
        <w:t>年度融资计划</w:t>
      </w:r>
      <w:r>
        <w:rPr>
          <w:rFonts w:hint="eastAsia" w:ascii="Times New Roman"/>
          <w:b/>
          <w:sz w:val="44"/>
          <w:szCs w:val="44"/>
        </w:rPr>
        <w:t>的</w:t>
      </w:r>
      <w:r>
        <w:rPr>
          <w:rFonts w:ascii="Times New Roman"/>
          <w:b/>
          <w:sz w:val="44"/>
          <w:szCs w:val="44"/>
        </w:rPr>
        <w:t>公告</w:t>
      </w:r>
    </w:p>
    <w:p>
      <w:pPr>
        <w:pStyle w:val="3"/>
      </w:pPr>
    </w:p>
    <w:p>
      <w:pPr>
        <w:ind w:firstLine="560" w:firstLineChars="200"/>
        <w:rPr>
          <w:rFonts w:eastAsia="仿宋"/>
          <w:b/>
          <w:szCs w:val="28"/>
        </w:rPr>
      </w:pPr>
      <w:r>
        <w:rPr>
          <w:rFonts w:hAnsi="仿宋" w:eastAsia="仿宋"/>
          <w:b/>
          <w:szCs w:val="28"/>
        </w:rPr>
        <w:t>本公司及董事会全体成员保证公告内容的真实、准确、完整，没有虚假记载、误导性陈述或重大遗漏。</w:t>
      </w:r>
    </w:p>
    <w:p>
      <w:pPr>
        <w:pStyle w:val="3"/>
      </w:pPr>
    </w:p>
    <w:p>
      <w:pPr>
        <w:tabs>
          <w:tab w:val="left" w:pos="900"/>
        </w:tabs>
        <w:spacing w:line="560" w:lineRule="exact"/>
        <w:ind w:firstLine="560" w:firstLineChars="200"/>
        <w:rPr>
          <w:rFonts w:ascii="Times New Roman" w:hAnsi="Times New Roman" w:eastAsia="仿宋"/>
          <w:szCs w:val="28"/>
        </w:rPr>
      </w:pPr>
      <w:r>
        <w:rPr>
          <w:rFonts w:ascii="Times New Roman" w:hAnsi="Times New Roman" w:eastAsia="仿宋"/>
          <w:szCs w:val="28"/>
        </w:rPr>
        <w:t>根据公司生产经营情况、项目建设资金需求及未来发展投资需要，公司于</w:t>
      </w:r>
      <w:r>
        <w:rPr>
          <w:rFonts w:hint="eastAsia" w:ascii="Times New Roman" w:hAnsi="Times New Roman" w:eastAsia="仿宋"/>
          <w:szCs w:val="28"/>
        </w:rPr>
        <w:t>2024</w:t>
      </w:r>
      <w:r>
        <w:rPr>
          <w:rFonts w:ascii="Times New Roman" w:hAnsi="Times New Roman" w:eastAsia="仿宋"/>
          <w:szCs w:val="28"/>
        </w:rPr>
        <w:t>年</w:t>
      </w:r>
      <w:r>
        <w:rPr>
          <w:rFonts w:hint="eastAsia" w:ascii="Times New Roman" w:hAnsi="Times New Roman" w:eastAsia="仿宋"/>
          <w:szCs w:val="28"/>
        </w:rPr>
        <w:t>4</w:t>
      </w:r>
      <w:r>
        <w:rPr>
          <w:rFonts w:ascii="Times New Roman" w:hAnsi="Times New Roman" w:eastAsia="仿宋"/>
          <w:szCs w:val="28"/>
        </w:rPr>
        <w:t>月</w:t>
      </w:r>
      <w:r>
        <w:rPr>
          <w:rFonts w:hint="eastAsia" w:ascii="Times New Roman" w:hAnsi="Times New Roman" w:eastAsia="仿宋"/>
          <w:szCs w:val="28"/>
        </w:rPr>
        <w:t>26</w:t>
      </w:r>
      <w:r>
        <w:rPr>
          <w:rFonts w:ascii="Times New Roman" w:hAnsi="Times New Roman" w:eastAsia="仿宋"/>
          <w:szCs w:val="28"/>
        </w:rPr>
        <w:t>日召开第</w:t>
      </w:r>
      <w:r>
        <w:rPr>
          <w:rFonts w:hint="eastAsia" w:ascii="Times New Roman" w:hAnsi="Times New Roman" w:eastAsia="仿宋"/>
          <w:szCs w:val="28"/>
        </w:rPr>
        <w:t>九</w:t>
      </w:r>
      <w:r>
        <w:rPr>
          <w:rFonts w:ascii="Times New Roman" w:hAnsi="Times New Roman" w:eastAsia="仿宋"/>
          <w:szCs w:val="28"/>
        </w:rPr>
        <w:t>届董事会</w:t>
      </w:r>
      <w:r>
        <w:rPr>
          <w:rFonts w:hint="eastAsia" w:ascii="Times New Roman" w:hAnsi="Times New Roman" w:eastAsia="仿宋"/>
          <w:szCs w:val="28"/>
        </w:rPr>
        <w:t>第十七</w:t>
      </w:r>
      <w:r>
        <w:rPr>
          <w:rFonts w:ascii="Times New Roman" w:hAnsi="Times New Roman" w:eastAsia="仿宋"/>
          <w:szCs w:val="28"/>
        </w:rPr>
        <w:t>次会议</w:t>
      </w:r>
      <w:r>
        <w:rPr>
          <w:rFonts w:hint="eastAsia" w:ascii="Times New Roman" w:hAnsi="Times New Roman" w:eastAsia="仿宋"/>
          <w:szCs w:val="28"/>
        </w:rPr>
        <w:t>、第九届监事会第十二次会议</w:t>
      </w:r>
      <w:r>
        <w:rPr>
          <w:rFonts w:ascii="Times New Roman" w:hAnsi="Times New Roman" w:eastAsia="仿宋"/>
          <w:szCs w:val="28"/>
        </w:rPr>
        <w:t>，审议通过了</w:t>
      </w:r>
      <w:r>
        <w:rPr>
          <w:rFonts w:ascii="Times New Roman" w:hAnsi="Times New Roman" w:eastAsia="仿宋"/>
          <w:bCs/>
          <w:szCs w:val="28"/>
        </w:rPr>
        <w:t>《公司</w:t>
      </w:r>
      <w:r>
        <w:rPr>
          <w:rFonts w:hint="eastAsia" w:ascii="Times New Roman" w:hAnsi="Times New Roman" w:eastAsia="仿宋"/>
          <w:bCs/>
          <w:szCs w:val="28"/>
        </w:rPr>
        <w:t>2024</w:t>
      </w:r>
      <w:r>
        <w:rPr>
          <w:rFonts w:ascii="Times New Roman" w:hAnsi="Times New Roman" w:eastAsia="仿宋"/>
          <w:bCs/>
          <w:szCs w:val="28"/>
        </w:rPr>
        <w:t>年度融资计划》</w:t>
      </w:r>
      <w:r>
        <w:rPr>
          <w:rFonts w:ascii="Times New Roman" w:hAnsi="Times New Roman" w:eastAsia="仿宋"/>
          <w:szCs w:val="28"/>
        </w:rPr>
        <w:t>，同意公司</w:t>
      </w:r>
      <w:r>
        <w:rPr>
          <w:rFonts w:hint="eastAsia" w:ascii="Times New Roman" w:hAnsi="Times New Roman" w:eastAsia="仿宋"/>
          <w:szCs w:val="28"/>
        </w:rPr>
        <w:t>2024</w:t>
      </w:r>
      <w:r>
        <w:rPr>
          <w:rFonts w:ascii="Times New Roman" w:hAnsi="Times New Roman" w:eastAsia="仿宋"/>
          <w:szCs w:val="28"/>
        </w:rPr>
        <w:t>年度对外融资发生总额不超过</w:t>
      </w:r>
      <w:r>
        <w:rPr>
          <w:rFonts w:hint="eastAsia" w:ascii="Times New Roman" w:hAnsi="Times New Roman" w:eastAsia="仿宋"/>
          <w:szCs w:val="28"/>
        </w:rPr>
        <w:t>297.7</w:t>
      </w:r>
      <w:r>
        <w:rPr>
          <w:rFonts w:ascii="Times New Roman" w:hAnsi="Times New Roman" w:eastAsia="仿宋"/>
          <w:szCs w:val="28"/>
        </w:rPr>
        <w:t>亿元人民币，具体内容如下：</w:t>
      </w:r>
      <w:r>
        <w:rPr>
          <w:rFonts w:ascii="Times New Roman" w:hAnsi="Times New Roman" w:eastAsia="仿宋"/>
          <w:szCs w:val="28"/>
        </w:rPr>
        <w:br w:type="textWrapping"/>
      </w:r>
      <w:r>
        <w:rPr>
          <w:rFonts w:ascii="Times New Roman" w:hAnsi="Times New Roman" w:eastAsia="仿宋"/>
          <w:szCs w:val="28"/>
        </w:rPr>
        <w:t xml:space="preserve">  </w:t>
      </w:r>
      <w:r>
        <w:rPr>
          <w:rFonts w:ascii="Times New Roman" w:hAnsi="Times New Roman" w:eastAsia="仿宋"/>
          <w:b/>
          <w:szCs w:val="28"/>
        </w:rPr>
        <w:t xml:space="preserve"> 一、融资计划内容</w:t>
      </w:r>
    </w:p>
    <w:p>
      <w:pPr>
        <w:tabs>
          <w:tab w:val="left" w:pos="900"/>
        </w:tabs>
        <w:spacing w:line="560" w:lineRule="exact"/>
        <w:ind w:firstLine="560" w:firstLineChars="200"/>
        <w:rPr>
          <w:rFonts w:ascii="Times New Roman" w:hAnsi="Times New Roman" w:eastAsia="仿宋"/>
          <w:szCs w:val="28"/>
        </w:rPr>
      </w:pPr>
      <w:r>
        <w:rPr>
          <w:rFonts w:ascii="Times New Roman" w:hAnsi="Times New Roman" w:eastAsia="仿宋"/>
          <w:bCs/>
          <w:szCs w:val="28"/>
        </w:rPr>
        <w:t>1.</w:t>
      </w:r>
      <w:r>
        <w:rPr>
          <w:rFonts w:hint="eastAsia" w:ascii="Times New Roman" w:hAnsi="Times New Roman" w:eastAsia="仿宋"/>
          <w:szCs w:val="28"/>
        </w:rPr>
        <w:t>2024年</w:t>
      </w:r>
      <w:r>
        <w:rPr>
          <w:rFonts w:hint="eastAsia" w:ascii="Times New Roman" w:hAnsi="Times New Roman" w:eastAsia="仿宋"/>
          <w:szCs w:val="28"/>
          <w:lang w:eastAsia="zh-CN"/>
        </w:rPr>
        <w:t>，</w:t>
      </w:r>
      <w:r>
        <w:rPr>
          <w:rFonts w:hint="eastAsia" w:ascii="Times New Roman" w:hAnsi="Times New Roman" w:eastAsia="仿宋"/>
          <w:szCs w:val="28"/>
        </w:rPr>
        <w:t>结合到期借款、经营与投资活动资金缺口、新增项目融资需求、债务优化置换借款等方面资金需求，</w:t>
      </w:r>
      <w:r>
        <w:rPr>
          <w:rFonts w:hint="eastAsia" w:ascii="Times New Roman" w:hAnsi="Times New Roman" w:eastAsia="仿宋"/>
          <w:szCs w:val="28"/>
          <w:lang w:val="en-US" w:eastAsia="zh-CN"/>
        </w:rPr>
        <w:t>公司</w:t>
      </w:r>
      <w:r>
        <w:rPr>
          <w:rFonts w:hint="eastAsia" w:ascii="Times New Roman" w:hAnsi="Times New Roman" w:eastAsia="仿宋"/>
          <w:szCs w:val="28"/>
        </w:rPr>
        <w:t>全年拟融资总额不超过</w:t>
      </w:r>
      <w:r>
        <w:rPr>
          <w:rFonts w:ascii="Times New Roman" w:hAnsi="Times New Roman" w:eastAsia="仿宋"/>
          <w:szCs w:val="28"/>
        </w:rPr>
        <w:t>297.70亿元</w:t>
      </w:r>
      <w:r>
        <w:rPr>
          <w:rFonts w:hint="eastAsia" w:ascii="Times New Roman" w:hAnsi="Times New Roman" w:eastAsia="仿宋"/>
          <w:szCs w:val="28"/>
        </w:rPr>
        <w:t>。</w:t>
      </w:r>
    </w:p>
    <w:p>
      <w:pPr>
        <w:tabs>
          <w:tab w:val="left" w:pos="900"/>
        </w:tabs>
        <w:spacing w:line="560" w:lineRule="exact"/>
        <w:ind w:firstLine="560" w:firstLineChars="200"/>
        <w:jc w:val="left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 xml:space="preserve">2.公司遵循平等自愿、优势互补、互利互惠、合作共赢的原则，选择信用良好，长久合作的中行、农行、工行、建行、开行、招行、邮储、兴业、口行、民生、中信、交行、渤海、广发、平安、华夏、盛京、浦发、农发行、吉林银行、招银租赁、浦银租赁、农银租赁、兴业租赁、中航租赁、交银租赁、建信租赁、国网租赁、工银租赁、中信租赁、昆仑租赁、国新租赁等金融机构开展短期借款、项目贷款、资产证券化、并购贷款、商转贷、保理、信用证、票据融资、跨境通、债券融资、股权融资、租赁、内保外贷、订单等融资业务。    </w:t>
      </w:r>
    </w:p>
    <w:p>
      <w:pPr>
        <w:tabs>
          <w:tab w:val="left" w:pos="900"/>
        </w:tabs>
        <w:spacing w:line="560" w:lineRule="exact"/>
        <w:ind w:firstLine="560" w:firstLineChars="200"/>
        <w:jc w:val="left"/>
        <w:rPr>
          <w:rFonts w:ascii="Times New Roman" w:hAnsi="Times New Roman" w:eastAsia="仿宋"/>
          <w:szCs w:val="28"/>
        </w:rPr>
      </w:pPr>
      <w:r>
        <w:rPr>
          <w:rFonts w:ascii="Times New Roman" w:hAnsi="Times New Roman" w:eastAsia="仿宋"/>
          <w:szCs w:val="28"/>
        </w:rPr>
        <w:t>3</w:t>
      </w:r>
      <w:r>
        <w:rPr>
          <w:rFonts w:hint="eastAsia" w:ascii="Times New Roman" w:hAnsi="Times New Roman" w:eastAsia="仿宋"/>
          <w:szCs w:val="28"/>
        </w:rPr>
        <w:t>.</w:t>
      </w:r>
      <w:r>
        <w:rPr>
          <w:rFonts w:ascii="Times New Roman" w:hAnsi="Times New Roman" w:eastAsia="仿宋"/>
          <w:szCs w:val="28"/>
        </w:rPr>
        <w:t>上述融资计划有效期自</w:t>
      </w:r>
      <w:r>
        <w:rPr>
          <w:rFonts w:hint="eastAsia" w:ascii="Times New Roman" w:hAnsi="Times New Roman" w:eastAsia="仿宋"/>
          <w:szCs w:val="28"/>
        </w:rPr>
        <w:t>2023</w:t>
      </w:r>
      <w:r>
        <w:rPr>
          <w:rFonts w:ascii="Times New Roman" w:hAnsi="Times New Roman" w:eastAsia="仿宋"/>
          <w:szCs w:val="28"/>
        </w:rPr>
        <w:t>年度股东大会审议通过本事项之日起至</w:t>
      </w:r>
      <w:r>
        <w:rPr>
          <w:rFonts w:hint="eastAsia" w:ascii="Times New Roman" w:hAnsi="Times New Roman" w:eastAsia="仿宋"/>
          <w:szCs w:val="28"/>
        </w:rPr>
        <w:t>2024</w:t>
      </w:r>
      <w:r>
        <w:rPr>
          <w:rFonts w:ascii="Times New Roman" w:hAnsi="Times New Roman" w:eastAsia="仿宋"/>
          <w:szCs w:val="28"/>
        </w:rPr>
        <w:t>年度股东大会召开之日止。</w:t>
      </w:r>
    </w:p>
    <w:p>
      <w:pPr>
        <w:tabs>
          <w:tab w:val="left" w:pos="900"/>
        </w:tabs>
        <w:spacing w:line="560" w:lineRule="exact"/>
        <w:ind w:firstLine="560" w:firstLineChars="200"/>
        <w:rPr>
          <w:rFonts w:ascii="Times New Roman" w:hAnsi="Times New Roman" w:eastAsia="仿宋"/>
          <w:b/>
          <w:szCs w:val="28"/>
        </w:rPr>
      </w:pPr>
      <w:bookmarkStart w:id="0" w:name="_Hlk69723929"/>
      <w:r>
        <w:rPr>
          <w:rFonts w:ascii="Times New Roman" w:hAnsi="Times New Roman" w:eastAsia="仿宋"/>
          <w:b/>
          <w:szCs w:val="28"/>
        </w:rPr>
        <w:t>二、公司内部资金往来</w:t>
      </w:r>
    </w:p>
    <w:p>
      <w:pPr>
        <w:pStyle w:val="3"/>
        <w:rPr>
          <w:rFonts w:ascii="Times New Roman" w:hAnsi="Times New Roman" w:eastAsia="仿宋"/>
          <w:bCs/>
          <w:szCs w:val="28"/>
        </w:rPr>
      </w:pPr>
      <w:r>
        <w:rPr>
          <w:rFonts w:hint="eastAsia" w:ascii="Times New Roman" w:hAnsi="Times New Roman" w:eastAsia="仿宋"/>
          <w:bCs/>
          <w:szCs w:val="28"/>
        </w:rPr>
        <w:t>为提高公司内部资金使用效率，降低公司整体资金成本，将对公司直接和间接持有的全资、控股子公司的资金进行调度，保证公司资金实现整体周转平衡。</w:t>
      </w:r>
    </w:p>
    <w:bookmarkEnd w:id="0"/>
    <w:p>
      <w:pPr>
        <w:pStyle w:val="3"/>
        <w:ind w:firstLine="562"/>
        <w:rPr>
          <w:rFonts w:ascii="Times New Roman" w:hAnsi="Times New Roman" w:eastAsia="仿宋"/>
          <w:b/>
          <w:szCs w:val="28"/>
        </w:rPr>
      </w:pPr>
      <w:r>
        <w:rPr>
          <w:rFonts w:ascii="Times New Roman" w:hAnsi="Times New Roman" w:eastAsia="仿宋"/>
          <w:b/>
          <w:szCs w:val="28"/>
        </w:rPr>
        <w:t>三、授权</w:t>
      </w:r>
      <w:r>
        <w:rPr>
          <w:rFonts w:hint="eastAsia" w:ascii="Times New Roman" w:hAnsi="Times New Roman" w:eastAsia="仿宋"/>
          <w:b/>
          <w:szCs w:val="28"/>
        </w:rPr>
        <w:t>事项</w:t>
      </w:r>
    </w:p>
    <w:p>
      <w:pPr>
        <w:pStyle w:val="3"/>
        <w:rPr>
          <w:rFonts w:ascii="Times New Roman" w:hAnsi="Times New Roman" w:eastAsia="仿宋"/>
          <w:bCs/>
          <w:szCs w:val="28"/>
        </w:rPr>
      </w:pPr>
      <w:r>
        <w:rPr>
          <w:rFonts w:ascii="Times New Roman" w:hAnsi="Times New Roman" w:eastAsia="仿宋"/>
          <w:bCs/>
          <w:szCs w:val="28"/>
        </w:rPr>
        <w:t>董事会提请股东大会授权公司经营层在</w:t>
      </w:r>
      <w:r>
        <w:rPr>
          <w:rFonts w:hint="eastAsia" w:ascii="Times New Roman" w:hAnsi="Times New Roman" w:eastAsia="仿宋"/>
          <w:bCs/>
          <w:szCs w:val="28"/>
        </w:rPr>
        <w:t>2023</w:t>
      </w:r>
      <w:r>
        <w:rPr>
          <w:rFonts w:ascii="Times New Roman" w:hAnsi="Times New Roman" w:eastAsia="仿宋"/>
          <w:bCs/>
          <w:szCs w:val="28"/>
        </w:rPr>
        <w:t>年度股东大会</w:t>
      </w:r>
      <w:r>
        <w:rPr>
          <w:rFonts w:hint="eastAsia" w:ascii="Times New Roman" w:hAnsi="Times New Roman" w:eastAsia="仿宋"/>
          <w:bCs/>
          <w:szCs w:val="28"/>
          <w:lang w:val="en-US" w:eastAsia="zh-CN"/>
        </w:rPr>
        <w:t>审批通过</w:t>
      </w:r>
      <w:bookmarkStart w:id="1" w:name="_GoBack"/>
      <w:bookmarkEnd w:id="1"/>
      <w:r>
        <w:rPr>
          <w:rFonts w:ascii="Times New Roman" w:hAnsi="Times New Roman" w:eastAsia="仿宋"/>
          <w:bCs/>
          <w:szCs w:val="28"/>
        </w:rPr>
        <w:t>之日至</w:t>
      </w:r>
      <w:r>
        <w:rPr>
          <w:rFonts w:hint="eastAsia" w:ascii="Times New Roman" w:hAnsi="Times New Roman" w:eastAsia="仿宋"/>
          <w:bCs/>
          <w:szCs w:val="28"/>
        </w:rPr>
        <w:t>2024</w:t>
      </w:r>
      <w:r>
        <w:rPr>
          <w:rFonts w:ascii="Times New Roman" w:hAnsi="Times New Roman" w:eastAsia="仿宋"/>
          <w:bCs/>
          <w:szCs w:val="28"/>
        </w:rPr>
        <w:t>年度股东大会召开之日的有效期内具体办理上述</w:t>
      </w:r>
      <w:r>
        <w:rPr>
          <w:rFonts w:hint="eastAsia" w:ascii="Times New Roman" w:hAnsi="Times New Roman" w:eastAsia="仿宋"/>
          <w:bCs/>
          <w:szCs w:val="28"/>
        </w:rPr>
        <w:t>2024</w:t>
      </w:r>
      <w:r>
        <w:rPr>
          <w:rFonts w:ascii="Times New Roman" w:hAnsi="Times New Roman" w:eastAsia="仿宋"/>
          <w:bCs/>
          <w:szCs w:val="28"/>
        </w:rPr>
        <w:t>年度融资事宜。</w:t>
      </w:r>
    </w:p>
    <w:p>
      <w:pPr>
        <w:pStyle w:val="3"/>
        <w:rPr>
          <w:rFonts w:ascii="Times New Roman" w:hAnsi="Times New Roman" w:eastAsia="仿宋"/>
          <w:bCs/>
          <w:szCs w:val="28"/>
        </w:rPr>
      </w:pPr>
      <w:r>
        <w:rPr>
          <w:rFonts w:ascii="Times New Roman" w:hAnsi="Times New Roman" w:eastAsia="仿宋"/>
          <w:bCs/>
          <w:szCs w:val="28"/>
        </w:rPr>
        <w:t>上述事项需提请公司</w:t>
      </w:r>
      <w:r>
        <w:rPr>
          <w:rFonts w:hint="eastAsia" w:ascii="Times New Roman" w:hAnsi="Times New Roman" w:eastAsia="仿宋"/>
          <w:bCs/>
          <w:szCs w:val="28"/>
        </w:rPr>
        <w:t>2023</w:t>
      </w:r>
      <w:r>
        <w:rPr>
          <w:rFonts w:ascii="Times New Roman" w:hAnsi="Times New Roman" w:eastAsia="仿宋"/>
          <w:bCs/>
          <w:szCs w:val="28"/>
        </w:rPr>
        <w:t>年度股东大会审议通过。</w:t>
      </w:r>
    </w:p>
    <w:p>
      <w:pPr>
        <w:pStyle w:val="3"/>
        <w:ind w:firstLine="562"/>
        <w:rPr>
          <w:rFonts w:ascii="Times New Roman" w:hAnsi="Times New Roman" w:eastAsia="仿宋"/>
          <w:b/>
          <w:szCs w:val="28"/>
        </w:rPr>
      </w:pPr>
      <w:r>
        <w:rPr>
          <w:rFonts w:hint="eastAsia" w:ascii="Times New Roman" w:hAnsi="Times New Roman" w:eastAsia="仿宋"/>
          <w:b/>
          <w:szCs w:val="28"/>
        </w:rPr>
        <w:t>四、备查文件</w:t>
      </w:r>
    </w:p>
    <w:p>
      <w:pPr>
        <w:pStyle w:val="3"/>
        <w:rPr>
          <w:rFonts w:ascii="Times New Roman" w:hAnsi="Times New Roman" w:eastAsia="仿宋"/>
          <w:bCs/>
          <w:szCs w:val="28"/>
        </w:rPr>
      </w:pPr>
      <w:r>
        <w:rPr>
          <w:rFonts w:hint="eastAsia" w:ascii="Times New Roman" w:hAnsi="Times New Roman" w:eastAsia="仿宋"/>
          <w:bCs/>
          <w:szCs w:val="28"/>
        </w:rPr>
        <w:t>第九届董事会第十七次会议决议。</w:t>
      </w:r>
    </w:p>
    <w:p>
      <w:pPr>
        <w:pStyle w:val="3"/>
        <w:rPr>
          <w:rFonts w:ascii="Times New Roman" w:hAnsi="Times New Roman" w:eastAsia="仿宋"/>
          <w:bCs/>
          <w:szCs w:val="28"/>
        </w:rPr>
      </w:pPr>
    </w:p>
    <w:p>
      <w:pPr>
        <w:pStyle w:val="3"/>
        <w:rPr>
          <w:rFonts w:ascii="Times New Roman" w:hAnsi="Times New Roman" w:eastAsia="仿宋"/>
          <w:bCs/>
          <w:szCs w:val="28"/>
        </w:rPr>
      </w:pPr>
      <w:r>
        <w:rPr>
          <w:rFonts w:ascii="Times New Roman" w:hAnsi="Times New Roman" w:eastAsia="仿宋"/>
          <w:bCs/>
          <w:szCs w:val="28"/>
        </w:rPr>
        <w:t>特此公告。</w:t>
      </w:r>
    </w:p>
    <w:p>
      <w:pPr>
        <w:pStyle w:val="3"/>
        <w:rPr>
          <w:rFonts w:ascii="Times New Roman" w:hAnsi="Times New Roman" w:eastAsia="仿宋"/>
          <w:bCs/>
          <w:szCs w:val="28"/>
        </w:rPr>
      </w:pPr>
    </w:p>
    <w:p>
      <w:pPr>
        <w:pStyle w:val="3"/>
        <w:jc w:val="right"/>
        <w:rPr>
          <w:rFonts w:ascii="Times New Roman" w:hAnsi="Times New Roman" w:eastAsia="仿宋"/>
          <w:bCs/>
          <w:szCs w:val="28"/>
        </w:rPr>
      </w:pPr>
      <w:r>
        <w:rPr>
          <w:rFonts w:ascii="Times New Roman" w:hAnsi="Times New Roman" w:eastAsia="仿宋"/>
          <w:bCs/>
          <w:szCs w:val="28"/>
        </w:rPr>
        <w:t>吉林电力股份有限公司董事会</w:t>
      </w:r>
    </w:p>
    <w:p>
      <w:pPr>
        <w:pStyle w:val="3"/>
        <w:jc w:val="right"/>
        <w:rPr>
          <w:rFonts w:ascii="Times New Roman" w:hAnsi="Times New Roman" w:eastAsia="仿宋"/>
          <w:bCs/>
          <w:szCs w:val="28"/>
        </w:rPr>
      </w:pPr>
      <w:r>
        <w:rPr>
          <w:rFonts w:ascii="Times New Roman" w:hAnsi="Times New Roman" w:eastAsia="仿宋"/>
          <w:bCs/>
          <w:szCs w:val="28"/>
        </w:rPr>
        <w:t>二</w:t>
      </w:r>
      <w:r>
        <w:rPr>
          <w:rFonts w:hint="eastAsia" w:ascii="Times New Roman" w:hAnsi="Times New Roman" w:eastAsia="仿宋"/>
          <w:bCs/>
          <w:szCs w:val="28"/>
        </w:rPr>
        <w:t>〇</w:t>
      </w:r>
      <w:r>
        <w:rPr>
          <w:rFonts w:ascii="Times New Roman" w:hAnsi="Times New Roman" w:eastAsia="仿宋"/>
          <w:bCs/>
          <w:szCs w:val="28"/>
        </w:rPr>
        <w:t>二</w:t>
      </w:r>
      <w:r>
        <w:rPr>
          <w:rFonts w:hint="eastAsia" w:ascii="Times New Roman" w:hAnsi="Times New Roman" w:eastAsia="仿宋"/>
          <w:bCs/>
          <w:szCs w:val="28"/>
        </w:rPr>
        <w:t>四</w:t>
      </w:r>
      <w:r>
        <w:rPr>
          <w:rFonts w:ascii="Times New Roman" w:hAnsi="Times New Roman" w:eastAsia="仿宋"/>
          <w:bCs/>
          <w:szCs w:val="28"/>
        </w:rPr>
        <w:t>年</w:t>
      </w:r>
      <w:r>
        <w:rPr>
          <w:rFonts w:hint="eastAsia" w:ascii="Times New Roman" w:hAnsi="Times New Roman" w:eastAsia="仿宋"/>
          <w:bCs/>
          <w:szCs w:val="28"/>
        </w:rPr>
        <w:t>四</w:t>
      </w:r>
      <w:r>
        <w:rPr>
          <w:rFonts w:ascii="Times New Roman" w:hAnsi="Times New Roman" w:eastAsia="仿宋"/>
          <w:bCs/>
          <w:szCs w:val="28"/>
        </w:rPr>
        <w:t>月</w:t>
      </w:r>
      <w:r>
        <w:rPr>
          <w:rFonts w:hint="eastAsia" w:ascii="Times New Roman" w:hAnsi="Times New Roman" w:eastAsia="仿宋"/>
          <w:bCs/>
          <w:szCs w:val="28"/>
        </w:rPr>
        <w:t>二</w:t>
      </w:r>
      <w:r>
        <w:rPr>
          <w:rFonts w:ascii="Times New Roman" w:hAnsi="Times New Roman" w:eastAsia="仿宋"/>
          <w:bCs/>
          <w:szCs w:val="28"/>
        </w:rPr>
        <w:t>十</w:t>
      </w:r>
      <w:r>
        <w:rPr>
          <w:rFonts w:hint="eastAsia" w:ascii="Times New Roman" w:hAnsi="Times New Roman" w:eastAsia="仿宋"/>
          <w:bCs/>
          <w:szCs w:val="28"/>
        </w:rPr>
        <w:t>六</w:t>
      </w:r>
      <w:r>
        <w:rPr>
          <w:rFonts w:ascii="Times New Roman" w:hAnsi="Times New Roman" w:eastAsia="仿宋"/>
          <w:bCs/>
          <w:szCs w:val="28"/>
        </w:rPr>
        <w:t>日</w:t>
      </w:r>
    </w:p>
    <w:sectPr>
      <w:footerReference r:id="rId3" w:type="default"/>
      <w:footerReference r:id="rId4" w:type="even"/>
      <w:pgSz w:w="11907" w:h="16840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ZDUxMmU3NmEwMTE5M2Q5ZTg0MGVmOGY5OWRhMDQifQ=="/>
  </w:docVars>
  <w:rsids>
    <w:rsidRoot w:val="00FC6058"/>
    <w:rsid w:val="00003D80"/>
    <w:rsid w:val="0000585F"/>
    <w:rsid w:val="0002608E"/>
    <w:rsid w:val="0003118B"/>
    <w:rsid w:val="00051B1D"/>
    <w:rsid w:val="000D5D1C"/>
    <w:rsid w:val="000E6047"/>
    <w:rsid w:val="001150F7"/>
    <w:rsid w:val="0012133C"/>
    <w:rsid w:val="001436CC"/>
    <w:rsid w:val="001732D7"/>
    <w:rsid w:val="0017627D"/>
    <w:rsid w:val="00224904"/>
    <w:rsid w:val="00295FB9"/>
    <w:rsid w:val="00307347"/>
    <w:rsid w:val="00321DE8"/>
    <w:rsid w:val="003C04A9"/>
    <w:rsid w:val="003F2E48"/>
    <w:rsid w:val="004464FA"/>
    <w:rsid w:val="00470AE8"/>
    <w:rsid w:val="00476B4B"/>
    <w:rsid w:val="00476C3A"/>
    <w:rsid w:val="004B4C3A"/>
    <w:rsid w:val="004E3C10"/>
    <w:rsid w:val="004E4D26"/>
    <w:rsid w:val="00566929"/>
    <w:rsid w:val="005B61AB"/>
    <w:rsid w:val="005D2040"/>
    <w:rsid w:val="005F10C1"/>
    <w:rsid w:val="005F450C"/>
    <w:rsid w:val="00601096"/>
    <w:rsid w:val="00627B68"/>
    <w:rsid w:val="006D4215"/>
    <w:rsid w:val="007029A6"/>
    <w:rsid w:val="00703B21"/>
    <w:rsid w:val="0076359E"/>
    <w:rsid w:val="00776B74"/>
    <w:rsid w:val="007B34EA"/>
    <w:rsid w:val="007B4A7E"/>
    <w:rsid w:val="007C22AD"/>
    <w:rsid w:val="007C55CB"/>
    <w:rsid w:val="007F2A93"/>
    <w:rsid w:val="007F6201"/>
    <w:rsid w:val="008307EE"/>
    <w:rsid w:val="00843516"/>
    <w:rsid w:val="00862554"/>
    <w:rsid w:val="00874EB5"/>
    <w:rsid w:val="008B5B70"/>
    <w:rsid w:val="008C2165"/>
    <w:rsid w:val="00932ECD"/>
    <w:rsid w:val="0097089A"/>
    <w:rsid w:val="009A6B1A"/>
    <w:rsid w:val="009C5839"/>
    <w:rsid w:val="00A049D8"/>
    <w:rsid w:val="00A32F8E"/>
    <w:rsid w:val="00A6152F"/>
    <w:rsid w:val="00AD300E"/>
    <w:rsid w:val="00B03CAF"/>
    <w:rsid w:val="00B8440C"/>
    <w:rsid w:val="00BA65E0"/>
    <w:rsid w:val="00BD3E2E"/>
    <w:rsid w:val="00BE5C60"/>
    <w:rsid w:val="00C13ADB"/>
    <w:rsid w:val="00C54041"/>
    <w:rsid w:val="00C6333A"/>
    <w:rsid w:val="00C933D1"/>
    <w:rsid w:val="00CB1304"/>
    <w:rsid w:val="00D01D9A"/>
    <w:rsid w:val="00D61472"/>
    <w:rsid w:val="00D70B20"/>
    <w:rsid w:val="00E068FD"/>
    <w:rsid w:val="00E60435"/>
    <w:rsid w:val="00E82F05"/>
    <w:rsid w:val="00E97A9F"/>
    <w:rsid w:val="00F21267"/>
    <w:rsid w:val="00F82630"/>
    <w:rsid w:val="00FA2695"/>
    <w:rsid w:val="00FA3849"/>
    <w:rsid w:val="00FC2723"/>
    <w:rsid w:val="00FC6058"/>
    <w:rsid w:val="059F4917"/>
    <w:rsid w:val="06175A41"/>
    <w:rsid w:val="08217EBB"/>
    <w:rsid w:val="08CD4C3C"/>
    <w:rsid w:val="0CF9584F"/>
    <w:rsid w:val="1B6E238B"/>
    <w:rsid w:val="1C2B128D"/>
    <w:rsid w:val="210653C0"/>
    <w:rsid w:val="222B44E5"/>
    <w:rsid w:val="278257D4"/>
    <w:rsid w:val="295E7C1E"/>
    <w:rsid w:val="2A1066B8"/>
    <w:rsid w:val="2B5C1DE1"/>
    <w:rsid w:val="2B870C90"/>
    <w:rsid w:val="2BE87181"/>
    <w:rsid w:val="2FC30001"/>
    <w:rsid w:val="2FD91EA5"/>
    <w:rsid w:val="307F1BF6"/>
    <w:rsid w:val="33C912C1"/>
    <w:rsid w:val="36090EC1"/>
    <w:rsid w:val="415632D6"/>
    <w:rsid w:val="443A4D7C"/>
    <w:rsid w:val="449F29BA"/>
    <w:rsid w:val="44DA577F"/>
    <w:rsid w:val="481744C6"/>
    <w:rsid w:val="490F086C"/>
    <w:rsid w:val="4A122BC3"/>
    <w:rsid w:val="4EF57374"/>
    <w:rsid w:val="535B57EA"/>
    <w:rsid w:val="54FC2A89"/>
    <w:rsid w:val="57F8680F"/>
    <w:rsid w:val="5C0F6A8C"/>
    <w:rsid w:val="5D7E4995"/>
    <w:rsid w:val="614C20DB"/>
    <w:rsid w:val="627C7558"/>
    <w:rsid w:val="64084A28"/>
    <w:rsid w:val="64D373DA"/>
    <w:rsid w:val="6A267098"/>
    <w:rsid w:val="6A9D7140"/>
    <w:rsid w:val="71987D28"/>
    <w:rsid w:val="740E53D8"/>
    <w:rsid w:val="7932258B"/>
    <w:rsid w:val="79A5196A"/>
    <w:rsid w:val="7A194E07"/>
    <w:rsid w:val="7E2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 Indent"/>
    <w:basedOn w:val="1"/>
    <w:autoRedefine/>
    <w:unhideWhenUsed/>
    <w:qFormat/>
    <w:uiPriority w:val="0"/>
    <w:pPr>
      <w:snapToGrid w:val="0"/>
      <w:spacing w:after="120" w:line="560" w:lineRule="exact"/>
      <w:ind w:firstLine="560" w:firstLine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autoRedefine/>
    <w:qFormat/>
    <w:uiPriority w:val="0"/>
    <w:rPr>
      <w:rFonts w:ascii="Tahoma" w:hAnsi="Tahoma"/>
      <w:sz w:val="24"/>
      <w:szCs w:val="20"/>
    </w:rPr>
  </w:style>
  <w:style w:type="character" w:styleId="9">
    <w:name w:val="annotation reference"/>
    <w:basedOn w:val="7"/>
    <w:autoRedefine/>
    <w:qFormat/>
    <w:uiPriority w:val="0"/>
    <w:rPr>
      <w:sz w:val="21"/>
      <w:szCs w:val="21"/>
    </w:rPr>
  </w:style>
  <w:style w:type="paragraph" w:customStyle="1" w:styleId="10">
    <w:name w:val="Char Char"/>
    <w:basedOn w:val="1"/>
    <w:autoRedefine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character" w:customStyle="1" w:styleId="11">
    <w:name w:val="页眉 字符"/>
    <w:link w:val="5"/>
    <w:autoRedefine/>
    <w:qFormat/>
    <w:uiPriority w:val="0"/>
    <w:rPr>
      <w:rFonts w:ascii="宋体" w:hAnsi="宋体"/>
      <w:kern w:val="2"/>
      <w:sz w:val="18"/>
      <w:szCs w:val="18"/>
    </w:rPr>
  </w:style>
  <w:style w:type="paragraph" w:customStyle="1" w:styleId="12">
    <w:name w:val="Revision"/>
    <w:autoRedefine/>
    <w:hidden/>
    <w:unhideWhenUsed/>
    <w:qFormat/>
    <w:uiPriority w:val="99"/>
    <w:rPr>
      <w:rFonts w:ascii="宋体" w:hAnsi="宋体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</Words>
  <Characters>751</Characters>
  <Lines>6</Lines>
  <Paragraphs>1</Paragraphs>
  <TotalTime>11</TotalTime>
  <ScaleCrop>false</ScaleCrop>
  <LinksUpToDate>false</LinksUpToDate>
  <CharactersWithSpaces>881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2015-06-16T07:46:00Z</dcterms:created>
  <dc:creator>石　岚</dc:creator>
  <cp:lastModifiedBy>WPS_1591103659</cp:lastModifiedBy>
  <cp:lastPrinted>2019-10-31T06:40:00Z</cp:lastPrinted>
  <dcterms:modified xsi:type="dcterms:W3CDTF">2024-04-28T06:14:51Z</dcterms:modified>
  <dc:title>  第14号  上市公司独立董事候选人及提名人声明公告格式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D245EB480E4A4788B0891EB3E2683A7E_13</vt:lpwstr>
  </property>
</Properties>
</file>