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rPr>
          <w:rFonts w:hint="default" w:eastAsia="宋体"/>
          <w:color w:val="FF0000"/>
          <w:highlight w:val="none"/>
          <w:lang w:val="en-US" w:eastAsia="zh-CN"/>
        </w:rPr>
      </w:pPr>
      <w:r>
        <w:rPr>
          <w:highlight w:val="none"/>
        </w:rPr>
        <w:t xml:space="preserve">证券代码：000875         </w:t>
      </w:r>
      <w:r>
        <w:rPr>
          <w:rFonts w:hint="eastAsia"/>
          <w:highlight w:val="none"/>
        </w:rPr>
        <w:t xml:space="preserve">  </w:t>
      </w:r>
      <w:r>
        <w:rPr>
          <w:highlight w:val="none"/>
        </w:rPr>
        <w:t xml:space="preserve"> 证券简称：吉电股份       </w:t>
      </w:r>
      <w:r>
        <w:rPr>
          <w:rFonts w:hint="eastAsia"/>
          <w:highlight w:val="none"/>
        </w:rPr>
        <w:t xml:space="preserve"> </w:t>
      </w:r>
      <w:r>
        <w:rPr>
          <w:highlight w:val="none"/>
        </w:rPr>
        <w:t xml:space="preserve">      公告编号：20</w:t>
      </w:r>
      <w:r>
        <w:rPr>
          <w:rFonts w:hint="eastAsia"/>
          <w:highlight w:val="none"/>
        </w:rPr>
        <w:t>2</w:t>
      </w:r>
      <w:r>
        <w:rPr>
          <w:rFonts w:hint="eastAsia"/>
          <w:highlight w:val="none"/>
          <w:lang w:val="en-US" w:eastAsia="zh-CN"/>
        </w:rPr>
        <w:t>4-</w:t>
      </w:r>
      <w:r>
        <w:rPr>
          <w:rFonts w:hint="eastAsia"/>
          <w:highlight w:val="none"/>
        </w:rPr>
        <w:t>0</w:t>
      </w:r>
      <w:r>
        <w:rPr>
          <w:rFonts w:hint="eastAsia"/>
          <w:highlight w:val="none"/>
          <w:lang w:val="en-US" w:eastAsia="zh-CN"/>
        </w:rPr>
        <w:t>26</w:t>
      </w:r>
    </w:p>
    <w:p>
      <w:pPr>
        <w:keepNext w:val="0"/>
        <w:keepLines w:val="0"/>
        <w:pageBreakBefore w:val="0"/>
        <w:widowControl w:val="0"/>
        <w:kinsoku/>
        <w:wordWrap/>
        <w:overflowPunct/>
        <w:topLinePunct w:val="0"/>
        <w:bidi w:val="0"/>
        <w:snapToGrid/>
        <w:spacing w:line="560" w:lineRule="exact"/>
        <w:textAlignment w:val="auto"/>
        <w:rPr>
          <w:rFonts w:hint="eastAsia"/>
          <w:b/>
          <w:sz w:val="44"/>
          <w:szCs w:val="44"/>
          <w:highlight w:val="none"/>
        </w:rPr>
      </w:pPr>
      <w:r>
        <w:rPr>
          <w:color w:val="FF6600"/>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4pt;margin-top:6pt;height:1.8pt;width:426.6pt;z-index:251659264;mso-width-relative:page;mso-height-relative:page;" filled="f" stroked="t" coordsize="21600,21600" o:gfxdata="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QcFs/WAAAACQEAAA8AAAAAAAAAAQAgAAAAIgAAAGRycy9kb3ducmV2LnhtbFBL&#10;AQIUABQAAAAIAIdO4kBTRW0n+AEAAPADAAAOAAAAAAAAAAEAIAAAACUBAABkcnMvZTJvRG9jLnht&#10;bFBLBQYAAAAABgAGAFkBAACPBQAAAAA=&#10;">
                <v:fill on="f" focussize="0,0"/>
                <v:stroke weight="4.5pt" color="#FF6600" linestyle="thinThick" joinstyle="round"/>
                <v:imagedata o:title=""/>
                <o:lock v:ext="edit" aspectratio="f"/>
              </v:line>
            </w:pict>
          </mc:Fallback>
        </mc:AlternateContent>
      </w:r>
    </w:p>
    <w:p>
      <w:pPr>
        <w:keepNext w:val="0"/>
        <w:keepLines w:val="0"/>
        <w:pageBreakBefore w:val="0"/>
        <w:widowControl w:val="0"/>
        <w:kinsoku/>
        <w:wordWrap/>
        <w:overflowPunct/>
        <w:topLinePunct w:val="0"/>
        <w:bidi w:val="0"/>
        <w:snapToGrid/>
        <w:spacing w:line="560" w:lineRule="exact"/>
        <w:jc w:val="center"/>
        <w:textAlignment w:val="auto"/>
        <w:rPr>
          <w:b/>
          <w:sz w:val="44"/>
          <w:szCs w:val="44"/>
          <w:highlight w:val="none"/>
        </w:rPr>
      </w:pPr>
      <w:r>
        <w:rPr>
          <w:rFonts w:hint="eastAsia"/>
          <w:b/>
          <w:sz w:val="44"/>
          <w:szCs w:val="44"/>
          <w:highlight w:val="none"/>
        </w:rPr>
        <w:t>吉林电力股份有限公司</w:t>
      </w:r>
    </w:p>
    <w:p>
      <w:pPr>
        <w:keepNext w:val="0"/>
        <w:keepLines w:val="0"/>
        <w:pageBreakBefore w:val="0"/>
        <w:widowControl w:val="0"/>
        <w:kinsoku/>
        <w:wordWrap/>
        <w:overflowPunct/>
        <w:topLinePunct w:val="0"/>
        <w:bidi w:val="0"/>
        <w:snapToGrid/>
        <w:spacing w:line="560" w:lineRule="exact"/>
        <w:jc w:val="center"/>
        <w:textAlignment w:val="auto"/>
        <w:rPr>
          <w:b/>
          <w:sz w:val="36"/>
          <w:szCs w:val="36"/>
          <w:highlight w:val="none"/>
        </w:rPr>
      </w:pPr>
      <w:r>
        <w:rPr>
          <w:rFonts w:hint="eastAsia"/>
          <w:b/>
          <w:sz w:val="44"/>
          <w:szCs w:val="44"/>
          <w:highlight w:val="none"/>
        </w:rPr>
        <w:t>关于归还暂时补充流动资金的募集资金的公告</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562" w:firstLineChars="200"/>
        <w:textAlignment w:val="auto"/>
        <w:rPr>
          <w:rFonts w:eastAsia="仿宋"/>
          <w:b/>
          <w:sz w:val="28"/>
          <w:szCs w:val="28"/>
          <w:highlight w:val="none"/>
        </w:rPr>
      </w:pPr>
      <w:r>
        <w:rPr>
          <w:rFonts w:hAnsi="仿宋" w:eastAsia="仿宋"/>
          <w:b/>
          <w:sz w:val="28"/>
          <w:szCs w:val="28"/>
          <w:highlight w:val="none"/>
        </w:rPr>
        <w:t>本公司及</w:t>
      </w:r>
      <w:r>
        <w:rPr>
          <w:rFonts w:hint="eastAsia" w:hAnsi="仿宋" w:eastAsia="仿宋"/>
          <w:b/>
          <w:sz w:val="28"/>
          <w:szCs w:val="28"/>
          <w:highlight w:val="none"/>
        </w:rPr>
        <w:t>董</w:t>
      </w:r>
      <w:r>
        <w:rPr>
          <w:rFonts w:hAnsi="仿宋" w:eastAsia="仿宋"/>
          <w:b/>
          <w:sz w:val="28"/>
          <w:szCs w:val="28"/>
          <w:highlight w:val="none"/>
        </w:rPr>
        <w:t>事会全体成员保证公告内容的真实、准确、完整，没有虚假记载、误导性陈述或重大遗漏。</w:t>
      </w:r>
    </w:p>
    <w:p>
      <w:pPr>
        <w:keepNext w:val="0"/>
        <w:keepLines w:val="0"/>
        <w:pageBreakBefore w:val="0"/>
        <w:widowControl w:val="0"/>
        <w:kinsoku/>
        <w:wordWrap/>
        <w:overflowPunct/>
        <w:topLinePunct w:val="0"/>
        <w:bidi w:val="0"/>
        <w:snapToGrid/>
        <w:spacing w:line="560" w:lineRule="exact"/>
        <w:textAlignment w:val="auto"/>
        <w:rPr>
          <w:rFonts w:hint="eastAsia" w:eastAsia="仿宋"/>
          <w:sz w:val="32"/>
          <w:szCs w:val="32"/>
          <w:highlight w:val="none"/>
        </w:rPr>
      </w:pPr>
    </w:p>
    <w:p>
      <w:pPr>
        <w:keepNext w:val="0"/>
        <w:keepLines w:val="0"/>
        <w:pageBreakBefore w:val="0"/>
        <w:widowControl w:val="0"/>
        <w:kinsoku/>
        <w:wordWrap/>
        <w:overflowPunct/>
        <w:topLinePunct w:val="0"/>
        <w:bidi w:val="0"/>
        <w:snapToGrid/>
        <w:spacing w:line="560" w:lineRule="exact"/>
        <w:ind w:firstLine="560" w:firstLineChars="200"/>
        <w:textAlignment w:val="auto"/>
        <w:rPr>
          <w:rFonts w:eastAsia="仿宋"/>
          <w:color w:val="000000"/>
          <w:sz w:val="28"/>
          <w:szCs w:val="28"/>
          <w:highlight w:val="none"/>
        </w:rPr>
      </w:pPr>
      <w:r>
        <w:rPr>
          <w:rFonts w:hint="eastAsia" w:eastAsia="仿宋"/>
          <w:sz w:val="28"/>
          <w:szCs w:val="28"/>
          <w:highlight w:val="none"/>
          <w:lang w:val="en-US" w:eastAsia="zh-CN"/>
        </w:rPr>
        <w:t>吉</w:t>
      </w:r>
      <w:r>
        <w:rPr>
          <w:rFonts w:hint="eastAsia" w:eastAsia="仿宋"/>
          <w:sz w:val="28"/>
          <w:szCs w:val="28"/>
          <w:highlight w:val="none"/>
        </w:rPr>
        <w:t>林电力股份有限公司（以下简称“公司”）于202</w:t>
      </w:r>
      <w:r>
        <w:rPr>
          <w:rFonts w:hint="eastAsia" w:eastAsia="仿宋"/>
          <w:sz w:val="28"/>
          <w:szCs w:val="28"/>
          <w:highlight w:val="none"/>
          <w:lang w:val="en-US" w:eastAsia="zh-CN"/>
        </w:rPr>
        <w:t>3</w:t>
      </w:r>
      <w:r>
        <w:rPr>
          <w:rFonts w:hint="eastAsia" w:eastAsia="仿宋"/>
          <w:sz w:val="28"/>
          <w:szCs w:val="28"/>
          <w:highlight w:val="none"/>
        </w:rPr>
        <w:t>年4月2</w:t>
      </w:r>
      <w:r>
        <w:rPr>
          <w:rFonts w:hint="eastAsia" w:eastAsia="仿宋"/>
          <w:sz w:val="28"/>
          <w:szCs w:val="28"/>
          <w:highlight w:val="none"/>
          <w:lang w:val="en-US" w:eastAsia="zh-CN"/>
        </w:rPr>
        <w:t>6</w:t>
      </w:r>
      <w:r>
        <w:rPr>
          <w:rFonts w:hint="eastAsia" w:eastAsia="仿宋"/>
          <w:sz w:val="28"/>
          <w:szCs w:val="28"/>
          <w:highlight w:val="none"/>
        </w:rPr>
        <w:t>日召开第</w:t>
      </w:r>
      <w:r>
        <w:rPr>
          <w:rFonts w:hint="eastAsia" w:eastAsia="仿宋"/>
          <w:sz w:val="28"/>
          <w:szCs w:val="28"/>
          <w:highlight w:val="none"/>
          <w:lang w:val="en-US" w:eastAsia="zh-CN"/>
        </w:rPr>
        <w:t>九</w:t>
      </w:r>
      <w:r>
        <w:rPr>
          <w:rFonts w:hint="eastAsia" w:eastAsia="仿宋"/>
          <w:sz w:val="28"/>
          <w:szCs w:val="28"/>
          <w:highlight w:val="none"/>
        </w:rPr>
        <w:t>届董事会第</w:t>
      </w:r>
      <w:r>
        <w:rPr>
          <w:rFonts w:hint="eastAsia" w:eastAsia="仿宋"/>
          <w:sz w:val="28"/>
          <w:szCs w:val="28"/>
          <w:highlight w:val="none"/>
          <w:lang w:val="en-US" w:eastAsia="zh-CN"/>
        </w:rPr>
        <w:t>七</w:t>
      </w:r>
      <w:r>
        <w:rPr>
          <w:rFonts w:hint="eastAsia" w:eastAsia="仿宋"/>
          <w:sz w:val="28"/>
          <w:szCs w:val="28"/>
          <w:highlight w:val="none"/>
        </w:rPr>
        <w:t>次会议，审议通过了《关于使用闲置募集资金暂时补充流动资金的议案》，同意公司使用不超过人民币</w:t>
      </w:r>
      <w:r>
        <w:rPr>
          <w:rFonts w:hint="eastAsia" w:eastAsia="仿宋"/>
          <w:sz w:val="28"/>
          <w:szCs w:val="28"/>
          <w:highlight w:val="none"/>
          <w:lang w:val="en-US" w:eastAsia="zh-CN"/>
        </w:rPr>
        <w:t>23,600</w:t>
      </w:r>
      <w:r>
        <w:rPr>
          <w:rFonts w:hint="eastAsia" w:eastAsia="仿宋"/>
          <w:sz w:val="28"/>
          <w:szCs w:val="28"/>
          <w:highlight w:val="none"/>
        </w:rPr>
        <w:t>万元的闲置募集资金暂时补充流动资金，使用期限自董事会审议批准之日起不超过12个月。</w:t>
      </w:r>
      <w:r>
        <w:rPr>
          <w:rFonts w:eastAsia="仿宋"/>
          <w:sz w:val="28"/>
          <w:szCs w:val="28"/>
          <w:highlight w:val="none"/>
        </w:rPr>
        <w:t>详细内容请见公司于20</w:t>
      </w:r>
      <w:r>
        <w:rPr>
          <w:rFonts w:hint="eastAsia" w:eastAsia="仿宋"/>
          <w:sz w:val="28"/>
          <w:szCs w:val="28"/>
          <w:highlight w:val="none"/>
          <w:lang w:val="en-US" w:eastAsia="zh-CN"/>
        </w:rPr>
        <w:t>23</w:t>
      </w:r>
      <w:r>
        <w:rPr>
          <w:rFonts w:eastAsia="仿宋"/>
          <w:sz w:val="28"/>
          <w:szCs w:val="28"/>
          <w:highlight w:val="none"/>
        </w:rPr>
        <w:t>年</w:t>
      </w:r>
      <w:r>
        <w:rPr>
          <w:rFonts w:hint="eastAsia" w:eastAsia="仿宋"/>
          <w:sz w:val="28"/>
          <w:szCs w:val="28"/>
          <w:highlight w:val="none"/>
        </w:rPr>
        <w:t>4</w:t>
      </w:r>
      <w:r>
        <w:rPr>
          <w:rFonts w:eastAsia="仿宋"/>
          <w:sz w:val="28"/>
          <w:szCs w:val="28"/>
          <w:highlight w:val="none"/>
        </w:rPr>
        <w:t>月</w:t>
      </w:r>
      <w:r>
        <w:rPr>
          <w:rFonts w:hint="eastAsia" w:eastAsia="仿宋"/>
          <w:sz w:val="28"/>
          <w:szCs w:val="28"/>
          <w:highlight w:val="none"/>
          <w:lang w:val="en-US" w:eastAsia="zh-CN"/>
        </w:rPr>
        <w:t>28</w:t>
      </w:r>
      <w:r>
        <w:rPr>
          <w:rFonts w:eastAsia="仿宋"/>
          <w:sz w:val="28"/>
          <w:szCs w:val="28"/>
          <w:highlight w:val="none"/>
        </w:rPr>
        <w:t>日</w:t>
      </w:r>
      <w:r>
        <w:rPr>
          <w:rFonts w:eastAsia="仿宋"/>
          <w:color w:val="000000"/>
          <w:sz w:val="28"/>
          <w:szCs w:val="28"/>
          <w:highlight w:val="none"/>
        </w:rPr>
        <w:t>刊载于《中国证券报》《上海证券报》《证券时报》和巨潮资讯网站（www.cninfo.com.cn）上的《</w:t>
      </w:r>
      <w:r>
        <w:rPr>
          <w:rFonts w:eastAsia="仿宋"/>
          <w:sz w:val="28"/>
          <w:szCs w:val="28"/>
          <w:highlight w:val="none"/>
        </w:rPr>
        <w:t>吉林电力股份有限公司关于使用闲置募集资金暂时补充流动资金的公告</w:t>
      </w:r>
      <w:r>
        <w:rPr>
          <w:rFonts w:eastAsia="仿宋"/>
          <w:color w:val="000000"/>
          <w:sz w:val="28"/>
          <w:szCs w:val="28"/>
          <w:highlight w:val="none"/>
        </w:rPr>
        <w:t>》（20</w:t>
      </w:r>
      <w:r>
        <w:rPr>
          <w:rFonts w:hint="eastAsia" w:eastAsia="仿宋"/>
          <w:color w:val="000000"/>
          <w:sz w:val="28"/>
          <w:szCs w:val="28"/>
          <w:highlight w:val="none"/>
          <w:lang w:val="en-US" w:eastAsia="zh-CN"/>
        </w:rPr>
        <w:t>23</w:t>
      </w:r>
      <w:r>
        <w:rPr>
          <w:rFonts w:eastAsia="仿宋"/>
          <w:color w:val="000000"/>
          <w:sz w:val="28"/>
          <w:szCs w:val="28"/>
          <w:highlight w:val="none"/>
        </w:rPr>
        <w:t>-0</w:t>
      </w:r>
      <w:r>
        <w:rPr>
          <w:rFonts w:hint="eastAsia" w:eastAsia="仿宋"/>
          <w:color w:val="000000"/>
          <w:sz w:val="28"/>
          <w:szCs w:val="28"/>
          <w:highlight w:val="none"/>
          <w:lang w:val="en-US" w:eastAsia="zh-CN"/>
        </w:rPr>
        <w:t>31</w:t>
      </w:r>
      <w:r>
        <w:rPr>
          <w:rFonts w:eastAsia="仿宋"/>
          <w:color w:val="000000"/>
          <w:sz w:val="28"/>
          <w:szCs w:val="28"/>
          <w:highlight w:val="none"/>
        </w:rPr>
        <w:t>）。</w:t>
      </w:r>
    </w:p>
    <w:p>
      <w:pPr>
        <w:pStyle w:val="13"/>
        <w:keepNext w:val="0"/>
        <w:keepLines w:val="0"/>
        <w:pageBreakBefore w:val="0"/>
        <w:widowControl w:val="0"/>
        <w:kinsoku/>
        <w:wordWrap/>
        <w:overflowPunct/>
        <w:topLinePunct w:val="0"/>
        <w:bidi w:val="0"/>
        <w:snapToGrid/>
        <w:spacing w:line="560" w:lineRule="exact"/>
        <w:ind w:firstLine="560" w:firstLineChars="200"/>
        <w:textAlignment w:val="auto"/>
        <w:rPr>
          <w:rFonts w:hint="eastAsia" w:ascii="Times New Roman" w:eastAsia="仿宋" w:cs="Times New Roman"/>
          <w:color w:val="auto"/>
          <w:kern w:val="2"/>
          <w:sz w:val="28"/>
          <w:szCs w:val="28"/>
          <w:highlight w:val="none"/>
        </w:rPr>
      </w:pPr>
      <w:r>
        <w:rPr>
          <w:rFonts w:hint="eastAsia" w:ascii="Times New Roman" w:eastAsia="仿宋" w:cs="Times New Roman"/>
          <w:color w:val="auto"/>
          <w:kern w:val="2"/>
          <w:sz w:val="28"/>
          <w:szCs w:val="28"/>
          <w:highlight w:val="none"/>
        </w:rPr>
        <w:t>根据公司募集资金投入安排，公司实际用于暂时补充流动资金的募集资金金额为人民币23</w:t>
      </w:r>
      <w:r>
        <w:rPr>
          <w:rFonts w:hint="eastAsia" w:eastAsia="仿宋"/>
          <w:sz w:val="28"/>
          <w:szCs w:val="28"/>
          <w:highlight w:val="none"/>
          <w:lang w:val="en-US" w:eastAsia="zh-CN"/>
        </w:rPr>
        <w:t>,</w:t>
      </w:r>
      <w:r>
        <w:rPr>
          <w:rFonts w:hint="eastAsia" w:ascii="Times New Roman" w:eastAsia="仿宋" w:cs="Times New Roman"/>
          <w:color w:val="auto"/>
          <w:kern w:val="2"/>
          <w:sz w:val="28"/>
          <w:szCs w:val="28"/>
          <w:highlight w:val="none"/>
        </w:rPr>
        <w:t>491</w:t>
      </w:r>
      <w:r>
        <w:rPr>
          <w:rFonts w:hint="eastAsia" w:ascii="Times New Roman" w:eastAsia="仿宋" w:cs="Times New Roman"/>
          <w:color w:val="auto"/>
          <w:kern w:val="2"/>
          <w:sz w:val="28"/>
          <w:szCs w:val="28"/>
          <w:highlight w:val="none"/>
          <w:lang w:val="en-US" w:eastAsia="zh-CN"/>
        </w:rPr>
        <w:t>.</w:t>
      </w:r>
      <w:r>
        <w:rPr>
          <w:rFonts w:hint="eastAsia" w:ascii="Times New Roman" w:eastAsia="仿宋" w:cs="Times New Roman"/>
          <w:color w:val="auto"/>
          <w:kern w:val="2"/>
          <w:sz w:val="28"/>
          <w:szCs w:val="28"/>
          <w:highlight w:val="none"/>
        </w:rPr>
        <w:t>4</w:t>
      </w:r>
      <w:r>
        <w:rPr>
          <w:rFonts w:hint="eastAsia" w:ascii="Times New Roman" w:eastAsia="仿宋" w:cs="Times New Roman"/>
          <w:color w:val="auto"/>
          <w:kern w:val="2"/>
          <w:sz w:val="28"/>
          <w:szCs w:val="28"/>
          <w:highlight w:val="none"/>
          <w:lang w:eastAsia="zh-CN"/>
        </w:rPr>
        <w:t>9</w:t>
      </w:r>
      <w:r>
        <w:rPr>
          <w:rFonts w:hint="eastAsia" w:ascii="Times New Roman" w:eastAsia="仿宋" w:cs="Times New Roman"/>
          <w:color w:val="auto"/>
          <w:kern w:val="2"/>
          <w:sz w:val="28"/>
          <w:szCs w:val="28"/>
          <w:highlight w:val="none"/>
          <w:lang w:val="en-US" w:eastAsia="zh-CN"/>
        </w:rPr>
        <w:t>万</w:t>
      </w:r>
      <w:r>
        <w:rPr>
          <w:rFonts w:hint="eastAsia" w:ascii="Times New Roman" w:eastAsia="仿宋" w:cs="Times New Roman"/>
          <w:color w:val="auto"/>
          <w:kern w:val="2"/>
          <w:sz w:val="28"/>
          <w:szCs w:val="28"/>
          <w:highlight w:val="none"/>
        </w:rPr>
        <w:t>元。截至202</w:t>
      </w:r>
      <w:r>
        <w:rPr>
          <w:rFonts w:hint="eastAsia" w:ascii="Times New Roman" w:eastAsia="仿宋" w:cs="Times New Roman"/>
          <w:color w:val="auto"/>
          <w:kern w:val="2"/>
          <w:sz w:val="28"/>
          <w:szCs w:val="28"/>
          <w:highlight w:val="none"/>
          <w:lang w:val="en-US" w:eastAsia="zh-CN"/>
        </w:rPr>
        <w:t>4</w:t>
      </w:r>
      <w:r>
        <w:rPr>
          <w:rFonts w:hint="eastAsia" w:ascii="Times New Roman" w:eastAsia="仿宋" w:cs="Times New Roman"/>
          <w:color w:val="auto"/>
          <w:kern w:val="2"/>
          <w:sz w:val="28"/>
          <w:szCs w:val="28"/>
          <w:highlight w:val="none"/>
        </w:rPr>
        <w:t>年4月2</w:t>
      </w:r>
      <w:r>
        <w:rPr>
          <w:rFonts w:hint="eastAsia" w:ascii="Times New Roman" w:eastAsia="仿宋" w:cs="Times New Roman"/>
          <w:color w:val="auto"/>
          <w:kern w:val="2"/>
          <w:sz w:val="28"/>
          <w:szCs w:val="28"/>
          <w:highlight w:val="none"/>
          <w:lang w:val="en-US" w:eastAsia="zh-CN"/>
        </w:rPr>
        <w:t>5</w:t>
      </w:r>
      <w:r>
        <w:rPr>
          <w:rFonts w:hint="eastAsia" w:ascii="Times New Roman" w:eastAsia="仿宋" w:cs="Times New Roman"/>
          <w:color w:val="auto"/>
          <w:kern w:val="2"/>
          <w:sz w:val="28"/>
          <w:szCs w:val="28"/>
          <w:highlight w:val="none"/>
        </w:rPr>
        <w:t>日，公司已将上述用于暂时补充流动资金的募集资金人民币23</w:t>
      </w:r>
      <w:r>
        <w:rPr>
          <w:rFonts w:hint="eastAsia" w:eastAsia="仿宋"/>
          <w:sz w:val="28"/>
          <w:szCs w:val="28"/>
          <w:highlight w:val="none"/>
          <w:lang w:val="en-US" w:eastAsia="zh-CN"/>
        </w:rPr>
        <w:t>,</w:t>
      </w:r>
      <w:r>
        <w:rPr>
          <w:rFonts w:hint="eastAsia" w:ascii="Times New Roman" w:eastAsia="仿宋" w:cs="Times New Roman"/>
          <w:color w:val="auto"/>
          <w:kern w:val="2"/>
          <w:sz w:val="28"/>
          <w:szCs w:val="28"/>
          <w:highlight w:val="none"/>
        </w:rPr>
        <w:t>491</w:t>
      </w:r>
      <w:r>
        <w:rPr>
          <w:rFonts w:hint="eastAsia" w:ascii="Times New Roman" w:eastAsia="仿宋" w:cs="Times New Roman"/>
          <w:color w:val="auto"/>
          <w:kern w:val="2"/>
          <w:sz w:val="28"/>
          <w:szCs w:val="28"/>
          <w:highlight w:val="none"/>
          <w:lang w:val="en-US" w:eastAsia="zh-CN"/>
        </w:rPr>
        <w:t>.</w:t>
      </w:r>
      <w:r>
        <w:rPr>
          <w:rFonts w:hint="eastAsia" w:ascii="Times New Roman" w:eastAsia="仿宋" w:cs="Times New Roman"/>
          <w:color w:val="auto"/>
          <w:kern w:val="2"/>
          <w:sz w:val="28"/>
          <w:szCs w:val="28"/>
          <w:highlight w:val="none"/>
        </w:rPr>
        <w:t>4</w:t>
      </w:r>
      <w:r>
        <w:rPr>
          <w:rFonts w:hint="eastAsia" w:ascii="Times New Roman" w:eastAsia="仿宋" w:cs="Times New Roman"/>
          <w:color w:val="auto"/>
          <w:kern w:val="2"/>
          <w:sz w:val="28"/>
          <w:szCs w:val="28"/>
          <w:highlight w:val="none"/>
          <w:lang w:eastAsia="zh-CN"/>
        </w:rPr>
        <w:t>9</w:t>
      </w:r>
      <w:r>
        <w:rPr>
          <w:rFonts w:hint="eastAsia" w:ascii="Times New Roman" w:eastAsia="仿宋" w:cs="Times New Roman"/>
          <w:color w:val="auto"/>
          <w:kern w:val="2"/>
          <w:sz w:val="28"/>
          <w:szCs w:val="28"/>
          <w:highlight w:val="none"/>
          <w:lang w:val="en-US" w:eastAsia="zh-CN"/>
        </w:rPr>
        <w:t>万</w:t>
      </w:r>
      <w:r>
        <w:rPr>
          <w:rFonts w:hint="eastAsia" w:ascii="Times New Roman" w:eastAsia="仿宋" w:cs="Times New Roman"/>
          <w:color w:val="auto"/>
          <w:kern w:val="2"/>
          <w:sz w:val="28"/>
          <w:szCs w:val="28"/>
          <w:highlight w:val="none"/>
        </w:rPr>
        <w:t>元</w:t>
      </w:r>
      <w:bookmarkStart w:id="0" w:name="_GoBack"/>
      <w:bookmarkEnd w:id="0"/>
      <w:r>
        <w:rPr>
          <w:rFonts w:hint="eastAsia" w:ascii="Times New Roman" w:eastAsia="仿宋" w:cs="Times New Roman"/>
          <w:color w:val="auto"/>
          <w:kern w:val="2"/>
          <w:sz w:val="28"/>
          <w:szCs w:val="28"/>
          <w:highlight w:val="none"/>
        </w:rPr>
        <w:t>全部归还并转入公司募集资金专用账户，使用期限未超过 12个月，并及时通知了公司保荐人——国信证券股份有限公司和保荐代表人。</w:t>
      </w:r>
    </w:p>
    <w:p>
      <w:pPr>
        <w:pStyle w:val="13"/>
        <w:keepNext w:val="0"/>
        <w:keepLines w:val="0"/>
        <w:pageBreakBefore w:val="0"/>
        <w:widowControl w:val="0"/>
        <w:kinsoku/>
        <w:wordWrap/>
        <w:overflowPunct/>
        <w:topLinePunct w:val="0"/>
        <w:bidi w:val="0"/>
        <w:snapToGrid/>
        <w:spacing w:line="560" w:lineRule="exact"/>
        <w:ind w:firstLine="560" w:firstLineChars="200"/>
        <w:textAlignment w:val="auto"/>
        <w:rPr>
          <w:rFonts w:ascii="Times New Roman" w:eastAsia="仿宋" w:cs="Times New Roman"/>
          <w:color w:val="auto"/>
          <w:kern w:val="2"/>
          <w:sz w:val="28"/>
          <w:szCs w:val="28"/>
          <w:highlight w:val="none"/>
        </w:rPr>
      </w:pPr>
    </w:p>
    <w:p>
      <w:pPr>
        <w:pStyle w:val="13"/>
        <w:keepNext w:val="0"/>
        <w:keepLines w:val="0"/>
        <w:pageBreakBefore w:val="0"/>
        <w:widowControl w:val="0"/>
        <w:kinsoku/>
        <w:wordWrap/>
        <w:overflowPunct/>
        <w:topLinePunct w:val="0"/>
        <w:bidi w:val="0"/>
        <w:snapToGrid/>
        <w:spacing w:line="560" w:lineRule="exact"/>
        <w:ind w:firstLine="560" w:firstLineChars="200"/>
        <w:textAlignment w:val="auto"/>
        <w:rPr>
          <w:rFonts w:ascii="Times New Roman" w:eastAsia="仿宋" w:cs="Times New Roman"/>
          <w:color w:val="auto"/>
          <w:kern w:val="2"/>
          <w:sz w:val="28"/>
          <w:szCs w:val="28"/>
          <w:highlight w:val="none"/>
        </w:rPr>
      </w:pPr>
      <w:r>
        <w:rPr>
          <w:rFonts w:ascii="Times New Roman" w:eastAsia="仿宋" w:cs="Times New Roman"/>
          <w:color w:val="auto"/>
          <w:kern w:val="2"/>
          <w:sz w:val="28"/>
          <w:szCs w:val="28"/>
          <w:highlight w:val="none"/>
        </w:rPr>
        <w:t>特此公告。</w:t>
      </w:r>
    </w:p>
    <w:p>
      <w:pPr>
        <w:pStyle w:val="13"/>
        <w:keepNext w:val="0"/>
        <w:keepLines w:val="0"/>
        <w:pageBreakBefore w:val="0"/>
        <w:widowControl w:val="0"/>
        <w:kinsoku/>
        <w:wordWrap/>
        <w:overflowPunct/>
        <w:topLinePunct w:val="0"/>
        <w:bidi w:val="0"/>
        <w:snapToGrid/>
        <w:spacing w:line="560" w:lineRule="exact"/>
        <w:ind w:firstLine="560" w:firstLineChars="200"/>
        <w:textAlignment w:val="auto"/>
        <w:rPr>
          <w:rFonts w:ascii="Times New Roman" w:eastAsia="仿宋" w:cs="Times New Roman"/>
          <w:color w:val="auto"/>
          <w:kern w:val="2"/>
          <w:sz w:val="28"/>
          <w:szCs w:val="28"/>
          <w:highlight w:val="none"/>
        </w:rPr>
      </w:pPr>
    </w:p>
    <w:p>
      <w:pPr>
        <w:pStyle w:val="13"/>
        <w:keepNext w:val="0"/>
        <w:keepLines w:val="0"/>
        <w:pageBreakBefore w:val="0"/>
        <w:widowControl w:val="0"/>
        <w:kinsoku/>
        <w:wordWrap/>
        <w:overflowPunct/>
        <w:topLinePunct w:val="0"/>
        <w:bidi w:val="0"/>
        <w:snapToGrid/>
        <w:spacing w:line="560" w:lineRule="exact"/>
        <w:ind w:firstLine="480" w:firstLineChars="200"/>
        <w:textAlignment w:val="auto"/>
        <w:rPr>
          <w:rFonts w:ascii="仿宋" w:hAnsi="仿宋" w:eastAsia="仿宋"/>
          <w:sz w:val="28"/>
          <w:szCs w:val="28"/>
          <w:highlight w:val="none"/>
        </w:rPr>
      </w:pPr>
      <w:r>
        <w:rPr>
          <w:rFonts w:cs="Times New Roman"/>
          <w:color w:val="auto"/>
          <w:kern w:val="2"/>
          <w:highlight w:val="none"/>
        </w:rPr>
        <w:t xml:space="preserve">            </w:t>
      </w:r>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rFonts w:ascii="仿宋" w:hAnsi="仿宋" w:eastAsia="仿宋"/>
          <w:sz w:val="28"/>
          <w:szCs w:val="28"/>
          <w:highlight w:val="none"/>
        </w:rPr>
        <w:t>吉林电力股份有限公司</w:t>
      </w:r>
      <w:r>
        <w:rPr>
          <w:rFonts w:hint="eastAsia" w:ascii="仿宋" w:hAnsi="仿宋" w:eastAsia="仿宋"/>
          <w:sz w:val="28"/>
          <w:szCs w:val="28"/>
          <w:highlight w:val="none"/>
        </w:rPr>
        <w:t>董</w:t>
      </w:r>
      <w:r>
        <w:rPr>
          <w:rFonts w:ascii="仿宋" w:hAnsi="仿宋" w:eastAsia="仿宋"/>
          <w:sz w:val="28"/>
          <w:szCs w:val="28"/>
          <w:highlight w:val="none"/>
        </w:rPr>
        <w:t>事会</w:t>
      </w:r>
    </w:p>
    <w:p>
      <w:pPr>
        <w:keepNext w:val="0"/>
        <w:keepLines w:val="0"/>
        <w:pageBreakBefore w:val="0"/>
        <w:widowControl w:val="0"/>
        <w:tabs>
          <w:tab w:val="left" w:pos="4690"/>
          <w:tab w:val="right" w:pos="8026"/>
        </w:tabs>
        <w:kinsoku/>
        <w:wordWrap/>
        <w:overflowPunct/>
        <w:topLinePunct w:val="0"/>
        <w:bidi w:val="0"/>
        <w:snapToGrid/>
        <w:spacing w:line="560" w:lineRule="exact"/>
        <w:jc w:val="left"/>
        <w:textAlignment w:val="auto"/>
        <w:rPr>
          <w:rFonts w:eastAsia="仿宋"/>
          <w:sz w:val="28"/>
          <w:szCs w:val="28"/>
          <w:highlight w:val="none"/>
        </w:rPr>
      </w:pPr>
      <w:r>
        <w:rPr>
          <w:rFonts w:ascii="仿宋" w:hAnsi="仿宋" w:eastAsia="仿宋"/>
          <w:sz w:val="28"/>
          <w:szCs w:val="28"/>
          <w:highlight w:val="none"/>
        </w:rPr>
        <w:tab/>
      </w:r>
      <w:r>
        <w:rPr>
          <w:rFonts w:ascii="仿宋" w:hAnsi="仿宋" w:eastAsia="仿宋"/>
          <w:sz w:val="28"/>
          <w:szCs w:val="28"/>
          <w:highlight w:val="none"/>
        </w:rPr>
        <w:t>二○二</w:t>
      </w:r>
      <w:r>
        <w:rPr>
          <w:rFonts w:hint="eastAsia" w:ascii="仿宋" w:hAnsi="仿宋" w:eastAsia="仿宋"/>
          <w:sz w:val="28"/>
          <w:szCs w:val="28"/>
          <w:highlight w:val="none"/>
          <w:lang w:val="en-US" w:eastAsia="zh-CN"/>
        </w:rPr>
        <w:t>四</w:t>
      </w:r>
      <w:r>
        <w:rPr>
          <w:rFonts w:ascii="仿宋" w:hAnsi="仿宋" w:eastAsia="仿宋"/>
          <w:sz w:val="28"/>
          <w:szCs w:val="28"/>
          <w:highlight w:val="none"/>
        </w:rPr>
        <w:t>年</w:t>
      </w:r>
      <w:r>
        <w:rPr>
          <w:rFonts w:hint="eastAsia" w:ascii="仿宋" w:hAnsi="仿宋" w:eastAsia="仿宋"/>
          <w:sz w:val="28"/>
          <w:szCs w:val="28"/>
          <w:highlight w:val="none"/>
        </w:rPr>
        <w:t>四</w:t>
      </w:r>
      <w:r>
        <w:rPr>
          <w:rFonts w:ascii="仿宋" w:hAnsi="仿宋" w:eastAsia="仿宋"/>
          <w:sz w:val="28"/>
          <w:szCs w:val="28"/>
          <w:highlight w:val="none"/>
        </w:rPr>
        <w:t>月</w:t>
      </w:r>
      <w:r>
        <w:rPr>
          <w:rFonts w:hint="eastAsia" w:ascii="仿宋" w:hAnsi="仿宋" w:eastAsia="仿宋"/>
          <w:sz w:val="28"/>
          <w:szCs w:val="28"/>
          <w:highlight w:val="none"/>
        </w:rPr>
        <w:t>二十</w:t>
      </w:r>
      <w:r>
        <w:rPr>
          <w:rFonts w:hint="eastAsia" w:ascii="仿宋" w:hAnsi="仿宋" w:eastAsia="仿宋"/>
          <w:sz w:val="28"/>
          <w:szCs w:val="28"/>
          <w:highlight w:val="none"/>
          <w:lang w:val="en-US" w:eastAsia="zh-CN"/>
        </w:rPr>
        <w:t>六</w:t>
      </w:r>
      <w:r>
        <w:rPr>
          <w:rFonts w:ascii="仿宋" w:hAnsi="仿宋" w:eastAsia="仿宋"/>
          <w:sz w:val="28"/>
          <w:szCs w:val="28"/>
          <w:highlight w:val="none"/>
        </w:rPr>
        <w:t>日</w:t>
      </w:r>
    </w:p>
    <w:sectPr>
      <w:head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ZjEwODRmYzBlNjE5MDIyMWY2MDNjZjJhNzQ3ZGQifQ=="/>
  </w:docVars>
  <w:rsids>
    <w:rsidRoot w:val="00172A27"/>
    <w:rsid w:val="00004076"/>
    <w:rsid w:val="0001161C"/>
    <w:rsid w:val="000648D4"/>
    <w:rsid w:val="00072FA6"/>
    <w:rsid w:val="00084D91"/>
    <w:rsid w:val="000A3C4A"/>
    <w:rsid w:val="000B5D56"/>
    <w:rsid w:val="000C5011"/>
    <w:rsid w:val="000C666C"/>
    <w:rsid w:val="000F71C6"/>
    <w:rsid w:val="000F734A"/>
    <w:rsid w:val="00134B4B"/>
    <w:rsid w:val="00157C41"/>
    <w:rsid w:val="001B3CED"/>
    <w:rsid w:val="001D70F8"/>
    <w:rsid w:val="00223111"/>
    <w:rsid w:val="002959AD"/>
    <w:rsid w:val="00296099"/>
    <w:rsid w:val="002A5013"/>
    <w:rsid w:val="0033452D"/>
    <w:rsid w:val="0034191C"/>
    <w:rsid w:val="00374277"/>
    <w:rsid w:val="00375804"/>
    <w:rsid w:val="00391DAA"/>
    <w:rsid w:val="0041097A"/>
    <w:rsid w:val="00420423"/>
    <w:rsid w:val="00435FF7"/>
    <w:rsid w:val="004828D3"/>
    <w:rsid w:val="00482ACC"/>
    <w:rsid w:val="004978EF"/>
    <w:rsid w:val="004B6DAC"/>
    <w:rsid w:val="004C0534"/>
    <w:rsid w:val="004C352C"/>
    <w:rsid w:val="004C6BC5"/>
    <w:rsid w:val="004E2C25"/>
    <w:rsid w:val="004E610F"/>
    <w:rsid w:val="0052248F"/>
    <w:rsid w:val="005307C9"/>
    <w:rsid w:val="005522CD"/>
    <w:rsid w:val="00553855"/>
    <w:rsid w:val="00580A54"/>
    <w:rsid w:val="005D22DD"/>
    <w:rsid w:val="005D77D5"/>
    <w:rsid w:val="005F0476"/>
    <w:rsid w:val="005F2F6B"/>
    <w:rsid w:val="005F6865"/>
    <w:rsid w:val="006378F8"/>
    <w:rsid w:val="00642A5A"/>
    <w:rsid w:val="006648B4"/>
    <w:rsid w:val="0068090C"/>
    <w:rsid w:val="006975D6"/>
    <w:rsid w:val="006B3F7D"/>
    <w:rsid w:val="006C150F"/>
    <w:rsid w:val="00714D60"/>
    <w:rsid w:val="00773A4B"/>
    <w:rsid w:val="007D1C7B"/>
    <w:rsid w:val="007D704B"/>
    <w:rsid w:val="007F23B7"/>
    <w:rsid w:val="00806C3C"/>
    <w:rsid w:val="008150BB"/>
    <w:rsid w:val="0083706E"/>
    <w:rsid w:val="00852A25"/>
    <w:rsid w:val="0085639C"/>
    <w:rsid w:val="008A2652"/>
    <w:rsid w:val="008B1C3F"/>
    <w:rsid w:val="008B4D38"/>
    <w:rsid w:val="008C7CDA"/>
    <w:rsid w:val="009124C5"/>
    <w:rsid w:val="00927840"/>
    <w:rsid w:val="00965EFA"/>
    <w:rsid w:val="0097169A"/>
    <w:rsid w:val="00971EA1"/>
    <w:rsid w:val="009902D5"/>
    <w:rsid w:val="009B2060"/>
    <w:rsid w:val="009E4525"/>
    <w:rsid w:val="00A32597"/>
    <w:rsid w:val="00A646E5"/>
    <w:rsid w:val="00AC14D3"/>
    <w:rsid w:val="00AD778E"/>
    <w:rsid w:val="00AE69E0"/>
    <w:rsid w:val="00AF351C"/>
    <w:rsid w:val="00B128BC"/>
    <w:rsid w:val="00B21095"/>
    <w:rsid w:val="00B53BAF"/>
    <w:rsid w:val="00BC0CAB"/>
    <w:rsid w:val="00BC1704"/>
    <w:rsid w:val="00BE5F88"/>
    <w:rsid w:val="00BE77B6"/>
    <w:rsid w:val="00BF4EDD"/>
    <w:rsid w:val="00C029BA"/>
    <w:rsid w:val="00C46F5F"/>
    <w:rsid w:val="00CA2548"/>
    <w:rsid w:val="00CF57DB"/>
    <w:rsid w:val="00D06248"/>
    <w:rsid w:val="00D07125"/>
    <w:rsid w:val="00D61B0A"/>
    <w:rsid w:val="00D75838"/>
    <w:rsid w:val="00D7665E"/>
    <w:rsid w:val="00D86D8F"/>
    <w:rsid w:val="00D87228"/>
    <w:rsid w:val="00DB3F13"/>
    <w:rsid w:val="00DC0181"/>
    <w:rsid w:val="00DC5427"/>
    <w:rsid w:val="00DD23E8"/>
    <w:rsid w:val="00DD6770"/>
    <w:rsid w:val="00E24F38"/>
    <w:rsid w:val="00E322E8"/>
    <w:rsid w:val="00E66034"/>
    <w:rsid w:val="00E867D9"/>
    <w:rsid w:val="00E87057"/>
    <w:rsid w:val="00E91672"/>
    <w:rsid w:val="00EA1FDA"/>
    <w:rsid w:val="00EC38C2"/>
    <w:rsid w:val="00EC40D1"/>
    <w:rsid w:val="00EE0DB1"/>
    <w:rsid w:val="00EE16C1"/>
    <w:rsid w:val="00EF5FD8"/>
    <w:rsid w:val="00F04D26"/>
    <w:rsid w:val="00F34F1E"/>
    <w:rsid w:val="00F41469"/>
    <w:rsid w:val="00F9275B"/>
    <w:rsid w:val="00FC7CDD"/>
    <w:rsid w:val="00FD233C"/>
    <w:rsid w:val="01515FF1"/>
    <w:rsid w:val="04581CB1"/>
    <w:rsid w:val="09841289"/>
    <w:rsid w:val="143B5471"/>
    <w:rsid w:val="17317087"/>
    <w:rsid w:val="19E46EDA"/>
    <w:rsid w:val="1B452C68"/>
    <w:rsid w:val="1E0177F9"/>
    <w:rsid w:val="20350A51"/>
    <w:rsid w:val="21837E63"/>
    <w:rsid w:val="22114E6D"/>
    <w:rsid w:val="23416B6B"/>
    <w:rsid w:val="23F45920"/>
    <w:rsid w:val="276729CF"/>
    <w:rsid w:val="291938C3"/>
    <w:rsid w:val="299E120A"/>
    <w:rsid w:val="2CE1604E"/>
    <w:rsid w:val="2F826468"/>
    <w:rsid w:val="3B680306"/>
    <w:rsid w:val="3D6A6708"/>
    <w:rsid w:val="4BEC5CFE"/>
    <w:rsid w:val="51925C52"/>
    <w:rsid w:val="55C41309"/>
    <w:rsid w:val="56F21BFE"/>
    <w:rsid w:val="59F07D24"/>
    <w:rsid w:val="606E0716"/>
    <w:rsid w:val="622425E3"/>
    <w:rsid w:val="63111242"/>
    <w:rsid w:val="65737F7A"/>
    <w:rsid w:val="69697F05"/>
    <w:rsid w:val="6A0B17AB"/>
    <w:rsid w:val="7056219E"/>
    <w:rsid w:val="71BC0CF6"/>
    <w:rsid w:val="721664EF"/>
    <w:rsid w:val="77456B25"/>
    <w:rsid w:val="783033FD"/>
    <w:rsid w:val="786C4B3F"/>
    <w:rsid w:val="7A3B3A87"/>
    <w:rsid w:val="7A540C7C"/>
    <w:rsid w:val="7AD74A3F"/>
    <w:rsid w:val="7B2F28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line="360" w:lineRule="auto"/>
      <w:jc w:val="left"/>
    </w:pPr>
    <w:rPr>
      <w:rFonts w:ascii="宋体" w:hAnsi="宋体" w:eastAsia="仿宋_GB2312" w:cs="宋体"/>
      <w:kern w:val="0"/>
      <w:sz w:val="24"/>
      <w:lang w:bidi="bn-IN"/>
    </w:rPr>
  </w:style>
  <w:style w:type="character" w:styleId="9">
    <w:name w:val="page number"/>
    <w:basedOn w:val="8"/>
    <w:autoRedefine/>
    <w:qFormat/>
    <w:uiPriority w:val="0"/>
  </w:style>
  <w:style w:type="character" w:customStyle="1" w:styleId="10">
    <w:name w:val="da1"/>
    <w:autoRedefine/>
    <w:qFormat/>
    <w:uiPriority w:val="0"/>
    <w:rPr>
      <w:rFonts w:hint="default" w:ascii="_x000B__x000C_" w:hAnsi="_x000B__x000C_"/>
      <w:color w:val="000000"/>
      <w:spacing w:val="360"/>
      <w:sz w:val="21"/>
      <w:szCs w:val="21"/>
      <w:u w:val="none"/>
    </w:rPr>
  </w:style>
  <w:style w:type="paragraph" w:customStyle="1" w:styleId="11">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2">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Char Char Char Char"/>
    <w:basedOn w:val="1"/>
    <w:qFormat/>
    <w:uiPriority w:val="0"/>
    <w:rPr>
      <w:szCs w:val="21"/>
    </w:rPr>
  </w:style>
  <w:style w:type="paragraph" w:customStyle="1" w:styleId="15">
    <w:name w:val="_Style 4"/>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Pages>
  <Words>415</Words>
  <Characters>468</Characters>
  <Lines>4</Lines>
  <Paragraphs>1</Paragraphs>
  <TotalTime>6</TotalTime>
  <ScaleCrop>false</ScaleCrop>
  <LinksUpToDate>false</LinksUpToDate>
  <CharactersWithSpaces>528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Sunflower゛旧萤火 -</cp:lastModifiedBy>
  <cp:lastPrinted>2018-05-28T03:44:00Z</cp:lastPrinted>
  <dcterms:modified xsi:type="dcterms:W3CDTF">2024-04-29T06:31:25Z</dcterms:modified>
  <dc:title>证券代码：000875            证券简称：吉电股份              公告编号：2014-062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336BD79260F44D58A1A26C1670B340B6_13</vt:lpwstr>
  </property>
  <property fmtid="{D5CDD505-2E9C-101B-9397-08002B2CF9AE}" pid="4" name="commondata">
    <vt:lpwstr>eyJoZGlkIjoiZjYwODI3MzhlZDY0MzYxNDIwZDY0YWQyZjdkOTgyZDcifQ==</vt:lpwstr>
  </property>
</Properties>
</file>