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宋体"/>
          <w:color w:val="FF0000"/>
          <w:lang w:eastAsia="zh-CN"/>
        </w:rPr>
      </w:pPr>
      <w:r>
        <w:t xml:space="preserve">证券代码：000875         </w:t>
      </w:r>
      <w:r>
        <w:rPr>
          <w:rFonts w:hint="eastAsia"/>
        </w:rPr>
        <w:t xml:space="preserve">  </w:t>
      </w:r>
      <w:r>
        <w:t xml:space="preserve"> 证券简称：吉电股份       </w:t>
      </w:r>
      <w:r>
        <w:rPr>
          <w:rFonts w:hint="eastAsia"/>
        </w:rPr>
        <w:t xml:space="preserve"> </w:t>
      </w:r>
      <w:r>
        <w:t xml:space="preserve">      公告编号：20</w:t>
      </w:r>
      <w:r>
        <w:rPr>
          <w:rFonts w:hint="eastAsia"/>
        </w:rPr>
        <w:t>24-03</w:t>
      </w:r>
      <w:r>
        <w:rPr>
          <w:rFonts w:hint="eastAsia"/>
          <w:lang w:val="en-US" w:eastAsia="zh-CN"/>
        </w:rPr>
        <w:t>7</w:t>
      </w:r>
    </w:p>
    <w:p>
      <w:pPr>
        <w:spacing w:line="560" w:lineRule="exact"/>
        <w:rPr>
          <w:b/>
          <w:sz w:val="44"/>
          <w:szCs w:val="44"/>
        </w:rPr>
      </w:pPr>
      <w:r>
        <w:rPr>
          <w:color w:val="FF660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15240</wp:posOffset>
                </wp:positionV>
                <wp:extent cx="5417820" cy="22860"/>
                <wp:effectExtent l="0" t="28575" r="7620" b="40005"/>
                <wp:wrapNone/>
                <wp:docPr id="1" name="直接连接符 1"/>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wps:wsp>
                  </a:graphicData>
                </a:graphic>
              </wp:anchor>
            </w:drawing>
          </mc:Choice>
          <mc:Fallback>
            <w:pict>
              <v:line id="_x0000_s1026" o:spid="_x0000_s1026" o:spt="20" style="position:absolute;left:0pt;flip:y;margin-left:-5.4pt;margin-top:1.2pt;height:1.8pt;width:426.6pt;z-index:251659264;mso-width-relative:page;mso-height-relative:page;" filled="f" stroked="t" coordsize="21600,21600" o:gfxdata="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ZoLYtQAAAAHAQAADwAAAAAAAAABACAAAAAiAAAAZHJzL2Rvd25yZXYueG1s&#10;UEsBAhQAFAAAAAgAh07iQN1kYoD8AQAA7QMAAA4AAAAAAAAAAQAgAAAAIwEAAGRycy9lMm9Eb2Mu&#10;eG1sUEsFBgAAAAAGAAYAWQEAAJEFAAAAAA==&#10;">
                <v:fill on="f" focussize="0,0"/>
                <v:stroke weight="4.5pt" color="#FF6600" linestyle="thinThick" joinstyle="round"/>
                <v:imagedata o:title=""/>
                <o:lock v:ext="edit" aspectratio="f"/>
              </v:line>
            </w:pict>
          </mc:Fallback>
        </mc:AlternateContent>
      </w:r>
    </w:p>
    <w:p>
      <w:pPr>
        <w:jc w:val="center"/>
        <w:rPr>
          <w:rFonts w:ascii="宋体" w:hAnsi="宋体" w:cs="黑体"/>
          <w:b/>
          <w:kern w:val="0"/>
          <w:sz w:val="44"/>
          <w:szCs w:val="44"/>
        </w:rPr>
      </w:pPr>
      <w:r>
        <w:rPr>
          <w:rFonts w:hint="eastAsia" w:ascii="宋体" w:hAnsi="宋体" w:cs="黑体"/>
          <w:b/>
          <w:kern w:val="0"/>
          <w:sz w:val="44"/>
          <w:szCs w:val="44"/>
        </w:rPr>
        <w:t>吉林电力股份有限公司董事会</w:t>
      </w:r>
    </w:p>
    <w:p>
      <w:pPr>
        <w:jc w:val="center"/>
        <w:rPr>
          <w:rFonts w:ascii="宋体" w:hAnsi="宋体" w:cs="黑体"/>
          <w:b/>
          <w:kern w:val="0"/>
          <w:sz w:val="44"/>
          <w:szCs w:val="44"/>
        </w:rPr>
      </w:pPr>
      <w:r>
        <w:rPr>
          <w:rFonts w:hint="eastAsia" w:ascii="宋体" w:hAnsi="宋体" w:cs="黑体"/>
          <w:b/>
          <w:kern w:val="0"/>
          <w:sz w:val="44"/>
          <w:szCs w:val="44"/>
        </w:rPr>
        <w:t>关于募集资金年度存放与使用情况的</w:t>
      </w:r>
    </w:p>
    <w:p>
      <w:pPr>
        <w:spacing w:line="560" w:lineRule="exact"/>
        <w:jc w:val="center"/>
        <w:rPr>
          <w:b/>
          <w:sz w:val="36"/>
          <w:szCs w:val="36"/>
        </w:rPr>
      </w:pPr>
      <w:r>
        <w:rPr>
          <w:rFonts w:hint="eastAsia" w:ascii="宋体" w:hAnsi="宋体" w:cs="黑体"/>
          <w:b/>
          <w:kern w:val="0"/>
          <w:sz w:val="44"/>
          <w:szCs w:val="44"/>
        </w:rPr>
        <w:t>专项报告</w:t>
      </w:r>
    </w:p>
    <w:p>
      <w:pPr>
        <w:spacing w:line="560" w:lineRule="exact"/>
        <w:jc w:val="center"/>
        <w:rPr>
          <w:rFonts w:ascii="仿宋_GB2312" w:eastAsia="仿宋_GB2312"/>
          <w:sz w:val="32"/>
          <w:szCs w:val="32"/>
        </w:rPr>
      </w:pPr>
    </w:p>
    <w:p>
      <w:pPr>
        <w:spacing w:line="560" w:lineRule="exact"/>
        <w:ind w:firstLine="562" w:firstLineChars="200"/>
        <w:rPr>
          <w:rFonts w:eastAsia="仿宋"/>
          <w:b/>
          <w:sz w:val="28"/>
          <w:szCs w:val="28"/>
        </w:rPr>
      </w:pPr>
      <w:r>
        <w:rPr>
          <w:rFonts w:hAnsi="仿宋" w:eastAsia="仿宋"/>
          <w:b/>
          <w:sz w:val="28"/>
          <w:szCs w:val="28"/>
        </w:rPr>
        <w:t>本公司及</w:t>
      </w:r>
      <w:r>
        <w:rPr>
          <w:rFonts w:hint="eastAsia" w:hAnsi="仿宋" w:eastAsia="仿宋"/>
          <w:b/>
          <w:sz w:val="28"/>
          <w:szCs w:val="28"/>
        </w:rPr>
        <w:t>董</w:t>
      </w:r>
      <w:r>
        <w:rPr>
          <w:rFonts w:hAnsi="仿宋" w:eastAsia="仿宋"/>
          <w:b/>
          <w:sz w:val="28"/>
          <w:szCs w:val="28"/>
        </w:rPr>
        <w:t>事会全体成员保证公告内容的真实、准确、完整，没有虚假记载、误导性陈述或重大遗漏。</w:t>
      </w:r>
    </w:p>
    <w:p>
      <w:pPr>
        <w:jc w:val="center"/>
        <w:rPr>
          <w:rFonts w:ascii="黑体" w:eastAsia="黑体" w:cs="黑体"/>
          <w:b/>
          <w:kern w:val="0"/>
          <w:sz w:val="44"/>
          <w:szCs w:val="44"/>
        </w:rPr>
      </w:pP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根据中国证监会发布的《上市公司监管指引第2号——上市公司募集资金管理和使用的监管要求》和深圳证券交易所发布《上市公司自律监管指引第1号——主板上市公司规范运作》《上市公司自律监管指南第2号——公告格式》等有关规定，吉林电力股份有限公司（以下简称“公司”或“本公司”）董事会编制了截至2023年12月31日的募集资金年度存放与实际使用情况的专项报告。</w:t>
      </w:r>
    </w:p>
    <w:p>
      <w:pPr>
        <w:widowControl/>
        <w:numPr>
          <w:ilvl w:val="0"/>
          <w:numId w:val="1"/>
        </w:numPr>
        <w:spacing w:line="560" w:lineRule="exact"/>
        <w:ind w:firstLine="562"/>
        <w:rPr>
          <w:rFonts w:ascii="仿宋" w:hAnsi="仿宋" w:eastAsia="仿宋" w:cs="仿宋"/>
          <w:b/>
          <w:kern w:val="0"/>
          <w:sz w:val="28"/>
          <w:szCs w:val="28"/>
        </w:rPr>
      </w:pPr>
      <w:r>
        <w:rPr>
          <w:rFonts w:hint="eastAsia" w:ascii="仿宋" w:hAnsi="仿宋" w:eastAsia="仿宋" w:cs="仿宋"/>
          <w:b/>
          <w:kern w:val="0"/>
          <w:sz w:val="28"/>
          <w:szCs w:val="28"/>
        </w:rPr>
        <w:t>募集资金基本情况</w:t>
      </w:r>
    </w:p>
    <w:p>
      <w:pPr>
        <w:widowControl/>
        <w:spacing w:line="560" w:lineRule="exact"/>
        <w:ind w:firstLine="560" w:firstLineChars="200"/>
        <w:rPr>
          <w:rFonts w:ascii="仿宋" w:hAnsi="仿宋" w:eastAsia="仿宋" w:cs="仿宋"/>
          <w:b/>
          <w:kern w:val="0"/>
          <w:sz w:val="28"/>
          <w:szCs w:val="28"/>
        </w:rPr>
      </w:pPr>
      <w:r>
        <w:rPr>
          <w:rFonts w:hint="eastAsia" w:ascii="仿宋" w:hAnsi="仿宋" w:eastAsia="仿宋" w:cs="仿宋"/>
          <w:sz w:val="28"/>
          <w:szCs w:val="28"/>
        </w:rPr>
        <w:t>（一）实际募集资金金额及资金到账时间</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吉林电力股份有限公司(以下简称"公司")经中国证券监督管理委员会(以下简称“中国证监会”)证监许可[2016]1994号核准，于2016年12月向国家电投集团吉林省能源交通总公司等不超过十名的特定对象非公开发行普通股股票685,701,785股，发行价格为5.60元/股，募集资金总额为人民币3,839,929,996.00元，扣除发行费用后的募集资金净额为人民币3,757,267,402.43元，资金于2016年12月19日到账。</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公司经中国证券监督管理委员会(以下简称“中国证监会”)证监许可[2020]2610号核准，于2021年3月向国家电投集团吉林能源投资有限公司等不超过35名特定对象非公开发行普通股股票643,894,194股，发行价格为3.48元/股，募集资金总额为人民币2,240,751,795.12元，扣除发行费用后的募集资金净额为人民币2,197,178,680.85元，资金于2021年3月16日到账。</w:t>
      </w:r>
    </w:p>
    <w:p>
      <w:pPr>
        <w:widowControl/>
        <w:numPr>
          <w:ilvl w:val="0"/>
          <w:numId w:val="2"/>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募集资金使用和结余情况</w:t>
      </w:r>
    </w:p>
    <w:p>
      <w:pPr>
        <w:widowControl/>
        <w:spacing w:line="560" w:lineRule="exact"/>
        <w:ind w:firstLine="560" w:firstLineChars="200"/>
        <w:rPr>
          <w:rFonts w:ascii="仿宋" w:hAnsi="仿宋" w:eastAsia="仿宋" w:cs="仿宋"/>
          <w:b/>
          <w:bCs/>
          <w:sz w:val="28"/>
          <w:szCs w:val="28"/>
          <w:highlight w:val="yellow"/>
        </w:rPr>
      </w:pPr>
      <w:r>
        <w:rPr>
          <w:rFonts w:hint="eastAsia" w:ascii="仿宋" w:hAnsi="仿宋" w:eastAsia="仿宋" w:cs="仿宋"/>
          <w:sz w:val="28"/>
          <w:szCs w:val="28"/>
        </w:rPr>
        <w:t>1.2016年12月非公开发行股票募集资金</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2017年度从专户支出金额为625,521,756.69元（包括支付到各个募投项目子公司募集资金专户的投资款），利息收入830,670.96元，截至2017年12月31日，本公司募集资金专户余额4,305,994.12元。</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2018年度专户利息收入13,110.31元，账户费用支出760.00元。截至2018年12月31日，本公司募集资金专户余额为4,318,344.43元。</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2019年度专户利息收入2,359.68元，补充流动资金支出3,979,148.18元，账户费用支出1,200.00元。截至2019年12月31日，本公司募集资金专户余额为340,355.93元。</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2020年度专户利息收入1,036.64元，账户费用支出1,140.00元。截至2020年12月31日，本公司募集资金专户余额为</w:t>
      </w:r>
      <w:bookmarkStart w:id="0" w:name="OLE_LINK1"/>
      <w:r>
        <w:rPr>
          <w:rFonts w:hint="eastAsia" w:ascii="仿宋" w:hAnsi="仿宋" w:eastAsia="仿宋" w:cs="仿宋"/>
          <w:sz w:val="28"/>
          <w:szCs w:val="28"/>
        </w:rPr>
        <w:t>340,252.57</w:t>
      </w:r>
      <w:bookmarkEnd w:id="0"/>
      <w:r>
        <w:rPr>
          <w:rFonts w:hint="eastAsia" w:ascii="仿宋" w:hAnsi="仿宋" w:eastAsia="仿宋" w:cs="仿宋"/>
          <w:sz w:val="28"/>
          <w:szCs w:val="28"/>
        </w:rPr>
        <w:t xml:space="preserve">元。 </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2021年度专户利息收入1,034.31元，账户费用支出750.00元。截至2021年12月31日，本公司募集资金专户余额合计</w:t>
      </w:r>
      <w:r>
        <w:rPr>
          <w:rFonts w:ascii="仿宋" w:hAnsi="仿宋" w:eastAsia="仿宋" w:cs="仿宋"/>
          <w:sz w:val="28"/>
          <w:szCs w:val="28"/>
        </w:rPr>
        <w:t>340,486.88</w:t>
      </w:r>
      <w:r>
        <w:rPr>
          <w:rFonts w:hint="eastAsia" w:ascii="仿宋" w:hAnsi="仿宋" w:eastAsia="仿宋" w:cs="仿宋"/>
          <w:sz w:val="28"/>
          <w:szCs w:val="28"/>
        </w:rPr>
        <w:t>元。</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2022年度专户利息收入991.09元，账户费用支出802.00元。截至2022年12月31日，本公司募集资金专户余额为340,675.97元。</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2023年度专户利息收入769.38元，账户费用支出1</w:t>
      </w:r>
      <w:r>
        <w:rPr>
          <w:rFonts w:ascii="仿宋" w:hAnsi="仿宋" w:eastAsia="仿宋" w:cs="仿宋"/>
          <w:sz w:val="28"/>
          <w:szCs w:val="28"/>
        </w:rPr>
        <w:t>,</w:t>
      </w:r>
      <w:r>
        <w:rPr>
          <w:rFonts w:hint="eastAsia" w:ascii="仿宋" w:hAnsi="仿宋" w:eastAsia="仿宋" w:cs="仿宋"/>
          <w:sz w:val="28"/>
          <w:szCs w:val="28"/>
        </w:rPr>
        <w:t>074.70元。截至2023年12月31日，本公司募集资金专户余额为340,370.65元。</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公司2023年投入项目的募集资金1</w:t>
      </w:r>
      <w:r>
        <w:rPr>
          <w:rFonts w:ascii="仿宋" w:hAnsi="仿宋" w:eastAsia="仿宋" w:cs="仿宋"/>
          <w:sz w:val="28"/>
          <w:szCs w:val="28"/>
        </w:rPr>
        <w:t>,</w:t>
      </w:r>
      <w:r>
        <w:rPr>
          <w:rFonts w:hint="eastAsia" w:ascii="仿宋" w:hAnsi="仿宋" w:eastAsia="仿宋" w:cs="仿宋"/>
          <w:sz w:val="28"/>
          <w:szCs w:val="28"/>
        </w:rPr>
        <w:t>030.06万元，截至2023年12月31日，公司累计投入募集资金投资项目261</w:t>
      </w:r>
      <w:r>
        <w:rPr>
          <w:rFonts w:ascii="仿宋" w:hAnsi="仿宋" w:eastAsia="仿宋" w:cs="仿宋"/>
          <w:sz w:val="28"/>
          <w:szCs w:val="28"/>
        </w:rPr>
        <w:t>,</w:t>
      </w:r>
      <w:r>
        <w:rPr>
          <w:rFonts w:hint="eastAsia" w:ascii="仿宋" w:hAnsi="仿宋" w:eastAsia="仿宋" w:cs="仿宋"/>
          <w:sz w:val="28"/>
          <w:szCs w:val="28"/>
        </w:rPr>
        <w:t>520.42万元，补充流动资金95,291.22万元，累计投入募集资金356,811.64万元。</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截至2023年12月31日，本公司募集资金专户余额为340,370.65元。募投项目子公司青海聚鸿新能源有限公司募集资金专户余额为1,195,521.56元；募投项目子公司吉电（滁州）章广风力发电有限公司募集资金专户余额为3,628.87元；募投项目子公司辉县市吉电新能源有限公司126,506.47元；募投项目子公司长岭中电投第一风力发电有限公司募集资金专户余额为0元；募投项目子公司长岭中电投第二风力发电有限公司募集资金专户余额为0元；募投项目子公司吉林中电投新能源有限公司募集资金专户余额为10,320.52元。</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截至2023年12月31日，上述募集资金专户余额合计1,676,348.07元。</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2.2021年3月非公开发行股票募集资金</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由于本次非公开发行实际募集资金金额（扣除发行费用后）少于募投项目拟投入募集资金金额，公司根据实际募集资金情况，对原募集资金投资项目拟投入募集资金金额进行调整为219,717.87万元。</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2021年度专户利息收入</w:t>
      </w:r>
      <w:r>
        <w:rPr>
          <w:rFonts w:ascii="仿宋" w:hAnsi="仿宋" w:eastAsia="仿宋" w:cs="仿宋"/>
          <w:sz w:val="28"/>
          <w:szCs w:val="28"/>
        </w:rPr>
        <w:t>74,978.71</w:t>
      </w:r>
      <w:r>
        <w:rPr>
          <w:rFonts w:hint="eastAsia" w:ascii="仿宋" w:hAnsi="仿宋" w:eastAsia="仿宋" w:cs="仿宋"/>
          <w:sz w:val="28"/>
          <w:szCs w:val="28"/>
        </w:rPr>
        <w:t>元，账户费用支出760.00元。截至2021年12月31日，本公司募集资金专户余额合计</w:t>
      </w:r>
      <w:r>
        <w:rPr>
          <w:rFonts w:ascii="仿宋" w:hAnsi="仿宋" w:eastAsia="仿宋" w:cs="仿宋"/>
          <w:sz w:val="28"/>
          <w:szCs w:val="28"/>
        </w:rPr>
        <w:t>15,802.96</w:t>
      </w:r>
      <w:r>
        <w:rPr>
          <w:rFonts w:hint="eastAsia" w:ascii="仿宋" w:hAnsi="仿宋" w:eastAsia="仿宋" w:cs="仿宋"/>
          <w:sz w:val="28"/>
          <w:szCs w:val="28"/>
        </w:rPr>
        <w:t>元。</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2022年度专户利息收入</w:t>
      </w:r>
      <w:r>
        <w:rPr>
          <w:rFonts w:ascii="仿宋" w:hAnsi="仿宋" w:eastAsia="仿宋" w:cs="仿宋"/>
          <w:sz w:val="28"/>
          <w:szCs w:val="28"/>
        </w:rPr>
        <w:t>44.86</w:t>
      </w:r>
      <w:r>
        <w:rPr>
          <w:rFonts w:hint="eastAsia" w:ascii="仿宋" w:hAnsi="仿宋" w:eastAsia="仿宋" w:cs="仿宋"/>
          <w:sz w:val="28"/>
          <w:szCs w:val="28"/>
        </w:rPr>
        <w:t>元，账户费用支出</w:t>
      </w:r>
      <w:r>
        <w:rPr>
          <w:rFonts w:ascii="仿宋" w:hAnsi="仿宋" w:eastAsia="仿宋" w:cs="仿宋"/>
          <w:sz w:val="28"/>
          <w:szCs w:val="28"/>
        </w:rPr>
        <w:t>680.00</w:t>
      </w:r>
      <w:r>
        <w:rPr>
          <w:rFonts w:hint="eastAsia" w:ascii="仿宋" w:hAnsi="仿宋" w:eastAsia="仿宋" w:cs="仿宋"/>
          <w:sz w:val="28"/>
          <w:szCs w:val="28"/>
        </w:rPr>
        <w:t>元。截至2022年12月31日，本公司募集资金专户余额为15,167.82元。</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2023年度专户利息收入33.78元，账户费用支出520.00元。截至2023年12月31日，本公司募集资金专户余额为14,681.60元。</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公司2023年投入项目的募集资金0万元,截至2023年12月31日，公司累计投入募集资金投资项目</w:t>
      </w:r>
      <w:r>
        <w:rPr>
          <w:rFonts w:ascii="仿宋" w:hAnsi="仿宋" w:eastAsia="仿宋" w:cs="仿宋"/>
          <w:sz w:val="28"/>
          <w:szCs w:val="28"/>
        </w:rPr>
        <w:t>156,868.66</w:t>
      </w:r>
      <w:r>
        <w:rPr>
          <w:rFonts w:hint="eastAsia" w:ascii="仿宋" w:hAnsi="仿宋" w:eastAsia="仿宋" w:cs="仿宋"/>
          <w:sz w:val="28"/>
          <w:szCs w:val="28"/>
        </w:rPr>
        <w:t>万元，补充流动资金</w:t>
      </w:r>
      <w:r>
        <w:rPr>
          <w:rFonts w:ascii="仿宋" w:hAnsi="仿宋" w:eastAsia="仿宋" w:cs="仿宋"/>
          <w:sz w:val="28"/>
          <w:szCs w:val="28"/>
        </w:rPr>
        <w:t>62,8</w:t>
      </w:r>
      <w:r>
        <w:rPr>
          <w:rFonts w:hint="eastAsia" w:ascii="仿宋" w:hAnsi="仿宋" w:eastAsia="仿宋" w:cs="仿宋"/>
          <w:sz w:val="28"/>
          <w:szCs w:val="28"/>
        </w:rPr>
        <w:t>62</w:t>
      </w:r>
      <w:r>
        <w:rPr>
          <w:rFonts w:ascii="仿宋" w:hAnsi="仿宋" w:eastAsia="仿宋" w:cs="仿宋"/>
          <w:sz w:val="28"/>
          <w:szCs w:val="28"/>
        </w:rPr>
        <w:t>.5</w:t>
      </w:r>
      <w:r>
        <w:rPr>
          <w:rFonts w:hint="eastAsia" w:ascii="仿宋" w:hAnsi="仿宋" w:eastAsia="仿宋" w:cs="仿宋"/>
          <w:sz w:val="28"/>
          <w:szCs w:val="28"/>
        </w:rPr>
        <w:t>6万元，累计投入募集资金219,731.22万元。</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截至2023年12月31日，本公司募集资金专户余额为14,681.60元。募投项目子公司宿松吉电新能源有限公司募集资金专户余额为677.36元；募投项目子公司延安吉电新能源有限公司募集资金专户余额为12,972.70元；募投项目子公司乌兰吉电新能源有限公司1,808.72元; 募投项目子公司兴国吉电新能源发电有限公司募集资金专户余额为0元; 募投项目子公司龙州沃合新能源科技有限公司募集资金专户余额为0元; 募投项目子公司寿光恒远新能源有限公司募集资金专户余额为252.87元。</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截至2023年12月31日，上述募集资金专户余额合计30,393.25元。</w:t>
      </w:r>
    </w:p>
    <w:p>
      <w:pPr>
        <w:widowControl/>
        <w:spacing w:line="56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二、募集资金</w:t>
      </w:r>
      <w:r>
        <w:rPr>
          <w:rFonts w:hint="eastAsia" w:ascii="仿宋" w:hAnsi="仿宋" w:eastAsia="仿宋" w:cs="仿宋"/>
          <w:b/>
          <w:sz w:val="28"/>
          <w:szCs w:val="28"/>
        </w:rPr>
        <w:t>存放和</w:t>
      </w:r>
      <w:r>
        <w:rPr>
          <w:rFonts w:hint="eastAsia" w:ascii="仿宋" w:hAnsi="仿宋" w:eastAsia="仿宋" w:cs="仿宋"/>
          <w:b/>
          <w:color w:val="000000"/>
          <w:kern w:val="0"/>
          <w:sz w:val="28"/>
          <w:szCs w:val="28"/>
        </w:rPr>
        <w:t>管理情况</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（一）2016年12月非公开发行股票募集资金</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2016年12月16日，公司及保荐</w:t>
      </w:r>
      <w:r>
        <w:rPr>
          <w:rFonts w:hint="eastAsia" w:ascii="仿宋" w:hAnsi="仿宋" w:eastAsia="仿宋" w:cs="仿宋"/>
          <w:sz w:val="28"/>
          <w:szCs w:val="28"/>
          <w:lang w:val="en-US" w:eastAsia="zh-CN"/>
        </w:rPr>
        <w:t>人</w:t>
      </w:r>
      <w:r>
        <w:rPr>
          <w:rFonts w:hint="eastAsia" w:ascii="仿宋" w:hAnsi="仿宋" w:eastAsia="仿宋" w:cs="仿宋"/>
          <w:sz w:val="28"/>
          <w:szCs w:val="28"/>
        </w:rPr>
        <w:t>国信证券股份有限公司（以下简称"国信证券"）分别与中国工商银行股份有限公司长春南部都市经济开发区支行、中国建设银行股份有限公司长春工农大路支行、中国农业银行股份有限公司长春盛世城支行签署了《募集资金专户存储三方监管协议》。开立募集资金专项账户，用于存放本次非公开发行A股股票的募集资金。该协议规定的履行不存在问题。</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2016年12月16日，公司所属全资子公司辉县市吉电新能源有限公司与中国农业银行股份有限公司辉县市支行、公司所属全资子公司吉电（滁州）章广风力发电有限公司与中国农业银行股份有限公司滁州南樵支行、公司所属全资子公司青海聚鸿新能源有限公司与中国建设银行股份有限公司西宁昆仑路支行、公司所属全资子公司吉林中电投新能源有限公司与中国工商银行股份有限公司长春南大街支行、公司所属全资子公司长岭中电投第一风力发电有限公司与中国工商银行股份有限公司长春南大街支行、公司所属全资子公司长岭中电投第二风力发电有限公司与中国工商银行股份有限公司长春南大街支行并连同保荐</w:t>
      </w:r>
      <w:r>
        <w:rPr>
          <w:rFonts w:hint="eastAsia" w:ascii="仿宋" w:hAnsi="仿宋" w:eastAsia="仿宋" w:cs="仿宋"/>
          <w:sz w:val="28"/>
          <w:szCs w:val="28"/>
          <w:lang w:val="en-US" w:eastAsia="zh-CN"/>
        </w:rPr>
        <w:t>人</w:t>
      </w:r>
      <w:r>
        <w:rPr>
          <w:rFonts w:hint="eastAsia" w:ascii="仿宋" w:hAnsi="仿宋" w:eastAsia="仿宋" w:cs="仿宋"/>
          <w:sz w:val="28"/>
          <w:szCs w:val="28"/>
        </w:rPr>
        <w:t>国信证券分别签署了《募集资金三方监管协议》，开立募集资金专项账户，用于存放本次非公开发行A股股票的募集资金。三方监管协议与《募集资金专户存储三方监管协议（范本）》不存在重大差异。</w:t>
      </w:r>
    </w:p>
    <w:p>
      <w:pPr>
        <w:widowControl/>
        <w:spacing w:line="56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（二）2021年3月非公开发行股票募集资金</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2021年3月17日，公司及国信证券与中国工商银行股份有限公司长春南大街支行签署了《募集资金专户存储三方监管协议》。开立募集资金专项账户，用于存放本次非公开发行A股股票的募集资金。该协议规定的履行不存在问题。</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2021年3月17日，公司所属全资子公司宿松吉电新能源有限公司与中国建设银行股份有限公司吉林省分行、公司所属全资子公司延安吉电新能源有限公司与招商银行股份有限公司长春分行营业部、公司所属全资子公司乌兰吉电新能源有限公司与交通银行股份有限公司长春龙兴支行、公司所属全资子公司兴国吉电新能源发电有限公司、龙州沃合新能源科技有限公司、寿光恒远新能源有限公司与中国工商银行股份有限公司新建支行并连同保荐</w:t>
      </w:r>
      <w:r>
        <w:rPr>
          <w:rFonts w:hint="eastAsia" w:ascii="仿宋" w:hAnsi="仿宋" w:eastAsia="仿宋" w:cs="仿宋"/>
          <w:sz w:val="28"/>
          <w:szCs w:val="28"/>
          <w:lang w:val="en-US" w:eastAsia="zh-CN"/>
        </w:rPr>
        <w:t>人</w:t>
      </w:r>
      <w:r>
        <w:rPr>
          <w:rFonts w:hint="eastAsia" w:ascii="仿宋" w:hAnsi="仿宋" w:eastAsia="仿宋" w:cs="仿宋"/>
          <w:sz w:val="28"/>
          <w:szCs w:val="28"/>
        </w:rPr>
        <w:t>国信证券分别签署了《募集资金三方监管协议》，开立募集资金专项账户，用于存放本次非公开发行A股股票的募集资金。三方监管协议与《募集资金专户存储三方监管协议（范本）》不存在重大差异。</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三、本年度募集资金的实际使用情况</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（一）2016年12月非公开发行股票募集资金</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1.募集资金投资项目的资金使用情况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本年度募集资金的实际使用情况参见《2016年非公开发行股票募集资金使用情况对照表》</w:t>
      </w:r>
      <w:r>
        <w:rPr>
          <w:rFonts w:hint="eastAsia" w:ascii="仿宋" w:hAnsi="仿宋" w:eastAsia="仿宋" w:cs="仿宋"/>
          <w:color w:val="000000"/>
          <w:sz w:val="28"/>
          <w:szCs w:val="28"/>
        </w:rPr>
        <w:t>（附表1）</w:t>
      </w:r>
      <w:r>
        <w:rPr>
          <w:rFonts w:hint="eastAsia" w:ascii="仿宋" w:hAnsi="仿宋" w:eastAsia="仿宋" w:cs="仿宋"/>
          <w:sz w:val="28"/>
          <w:szCs w:val="28"/>
        </w:rPr>
        <w:t>。</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2.用闲置募集资金暂时补充流动资金情况。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2023年度，公司归还用于暂时补充流动资金的募集资金的金额为</w:t>
      </w:r>
      <w:r>
        <w:rPr>
          <w:rFonts w:ascii="仿宋" w:hAnsi="仿宋" w:eastAsia="仿宋" w:cs="仿宋"/>
          <w:sz w:val="28"/>
          <w:szCs w:val="28"/>
        </w:rPr>
        <w:t>235,336,759.53</w:t>
      </w:r>
      <w:r>
        <w:rPr>
          <w:rFonts w:hint="eastAsia" w:ascii="仿宋" w:hAnsi="仿宋" w:eastAsia="仿宋" w:cs="仿宋"/>
          <w:sz w:val="28"/>
          <w:szCs w:val="28"/>
        </w:rPr>
        <w:t>元。同时根据公司2023年4月26日召开第九届董事会第七次会议审议通过了《关于使用闲置募集资金暂时补充流动资金的议案》，同意使用不超过23,600 万元的闲置募集资金暂时补充流动资金，使用期限于本次董事会审议批准之日起不超过12个月。截至2023年12月31日，公司使用224,914,899.32元闲置募集</w:t>
      </w:r>
      <w:r>
        <w:rPr>
          <w:rFonts w:hint="eastAsia" w:ascii="仿宋" w:hAnsi="仿宋" w:eastAsia="仿宋" w:cs="仿宋"/>
          <w:sz w:val="28"/>
          <w:szCs w:val="28"/>
          <w:lang w:eastAsia="zh-CN"/>
        </w:rPr>
        <w:t>资金</w:t>
      </w:r>
      <w:r>
        <w:rPr>
          <w:rFonts w:hint="eastAsia" w:ascii="仿宋" w:hAnsi="仿宋" w:eastAsia="仿宋" w:cs="仿宋"/>
          <w:sz w:val="28"/>
          <w:szCs w:val="28"/>
        </w:rPr>
        <w:t>暂时补充流动资金。</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（二）2021年3月非公开发行股票募集资金</w:t>
      </w:r>
    </w:p>
    <w:p>
      <w:pPr>
        <w:spacing w:line="560" w:lineRule="exact"/>
        <w:ind w:firstLine="560" w:firstLineChars="200"/>
        <w:rPr>
          <w:rFonts w:ascii="仿宋" w:hAnsi="仿宋" w:eastAsia="仿宋" w:cs="仿宋"/>
          <w:b/>
          <w:color w:val="000000"/>
          <w:sz w:val="28"/>
          <w:szCs w:val="28"/>
        </w:rPr>
      </w:pPr>
      <w:r>
        <w:rPr>
          <w:rFonts w:hint="eastAsia" w:ascii="仿宋" w:hAnsi="仿宋" w:eastAsia="仿宋" w:cs="仿宋"/>
          <w:sz w:val="28"/>
          <w:szCs w:val="28"/>
        </w:rPr>
        <w:t>本年度募集资金的实际使用情况参见《2021年非公开发行股票募集资金使用情况对照表》</w:t>
      </w:r>
      <w:r>
        <w:rPr>
          <w:rFonts w:hint="eastAsia" w:ascii="仿宋" w:hAnsi="仿宋" w:eastAsia="仿宋" w:cs="仿宋"/>
          <w:color w:val="000000"/>
          <w:sz w:val="28"/>
          <w:szCs w:val="28"/>
        </w:rPr>
        <w:t>（附表2）</w:t>
      </w:r>
      <w:r>
        <w:rPr>
          <w:rFonts w:hint="eastAsia" w:ascii="仿宋" w:hAnsi="仿宋" w:eastAsia="仿宋" w:cs="仿宋"/>
          <w:sz w:val="28"/>
          <w:szCs w:val="28"/>
        </w:rPr>
        <w:t>。</w:t>
      </w:r>
    </w:p>
    <w:p>
      <w:pPr>
        <w:spacing w:line="5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四、变更募集资金投资项目的资金使用情况</w:t>
      </w:r>
    </w:p>
    <w:p>
      <w:pPr>
        <w:spacing w:line="560" w:lineRule="exact"/>
        <w:ind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无。</w:t>
      </w:r>
    </w:p>
    <w:p>
      <w:pPr>
        <w:spacing w:line="5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五、募集资金使用及披露中存在的问题</w:t>
      </w:r>
    </w:p>
    <w:p>
      <w:pPr>
        <w:spacing w:line="56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无。</w:t>
      </w:r>
    </w:p>
    <w:p>
      <w:pPr>
        <w:widowControl/>
        <w:spacing w:line="460" w:lineRule="atLeast"/>
        <w:ind w:firstLine="480" w:firstLineChars="200"/>
        <w:rPr>
          <w:rFonts w:ascii="仿宋" w:hAnsi="仿宋" w:eastAsia="仿宋" w:cs="仿宋"/>
          <w:color w:val="000000"/>
          <w:sz w:val="24"/>
          <w:szCs w:val="24"/>
        </w:rPr>
      </w:pPr>
    </w:p>
    <w:p>
      <w:pPr>
        <w:widowControl/>
        <w:spacing w:line="520" w:lineRule="exact"/>
        <w:ind w:firstLine="560" w:firstLineChars="200"/>
        <w:rPr>
          <w:rFonts w:ascii="仿宋" w:hAnsi="仿宋" w:eastAsia="仿宋" w:cs="仿宋"/>
          <w:color w:val="000000"/>
          <w:sz w:val="28"/>
          <w:szCs w:val="28"/>
        </w:rPr>
      </w:pPr>
    </w:p>
    <w:p>
      <w:pPr>
        <w:widowControl/>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附表1：2016年非公开发行股票募集资金使用情况对照表</w:t>
      </w:r>
    </w:p>
    <w:p>
      <w:pPr>
        <w:widowControl/>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附表2：2021年非公开发行股票募集资金使用情况对照表</w:t>
      </w:r>
    </w:p>
    <w:p>
      <w:pPr>
        <w:widowControl/>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附表3：变更募集资金投资项目情况表</w:t>
      </w:r>
    </w:p>
    <w:p>
      <w:pPr>
        <w:widowControl/>
        <w:spacing w:line="520" w:lineRule="exact"/>
        <w:ind w:firstLine="560" w:firstLineChars="200"/>
        <w:rPr>
          <w:rFonts w:ascii="仿宋" w:hAnsi="仿宋" w:eastAsia="仿宋" w:cs="仿宋"/>
          <w:color w:val="000000"/>
          <w:sz w:val="28"/>
          <w:szCs w:val="28"/>
        </w:rPr>
      </w:pPr>
    </w:p>
    <w:p>
      <w:pPr>
        <w:pStyle w:val="36"/>
        <w:adjustRightInd/>
        <w:spacing w:line="560" w:lineRule="exact"/>
        <w:ind w:firstLine="560" w:firstLineChars="200"/>
        <w:rPr>
          <w:rFonts w:ascii="Times New Roman" w:hAnsi="仿宋" w:eastAsia="仿宋" w:cs="Times New Roman"/>
          <w:color w:val="auto"/>
          <w:sz w:val="28"/>
          <w:szCs w:val="28"/>
        </w:rPr>
      </w:pPr>
      <w:r>
        <w:rPr>
          <w:rFonts w:ascii="Times New Roman" w:eastAsia="仿宋" w:cs="Times New Roman"/>
          <w:color w:val="auto"/>
          <w:sz w:val="28"/>
          <w:szCs w:val="28"/>
        </w:rPr>
        <w:t xml:space="preserve">                                </w:t>
      </w:r>
      <w:r>
        <w:rPr>
          <w:rFonts w:hint="eastAsia" w:ascii="Times New Roman" w:eastAsia="仿宋" w:cs="Times New Roman"/>
          <w:color w:val="auto"/>
          <w:sz w:val="28"/>
          <w:szCs w:val="28"/>
        </w:rPr>
        <w:t xml:space="preserve">  </w:t>
      </w:r>
    </w:p>
    <w:p>
      <w:pPr>
        <w:pStyle w:val="36"/>
        <w:adjustRightInd/>
        <w:spacing w:line="580" w:lineRule="exact"/>
        <w:ind w:firstLine="560" w:firstLineChars="200"/>
        <w:rPr>
          <w:rFonts w:ascii="Times New Roman" w:hAnsi="仿宋" w:eastAsia="仿宋" w:cs="Times New Roman"/>
          <w:color w:val="auto"/>
          <w:sz w:val="28"/>
          <w:szCs w:val="28"/>
        </w:rPr>
        <w:sectPr>
          <w:headerReference r:id="rId3" w:type="default"/>
          <w:footerReference r:id="rId4" w:type="default"/>
          <w:footerReference r:id="rId5" w:type="even"/>
          <w:type w:val="continuous"/>
          <w:pgSz w:w="12240" w:h="15840"/>
          <w:pgMar w:top="1440" w:right="1797" w:bottom="1440" w:left="1797" w:header="720" w:footer="720" w:gutter="0"/>
          <w:cols w:space="720" w:num="1"/>
        </w:sectPr>
      </w:pPr>
    </w:p>
    <w:tbl>
      <w:tblPr>
        <w:tblStyle w:val="6"/>
        <w:tblW w:w="0" w:type="auto"/>
        <w:tblInd w:w="96" w:type="dxa"/>
        <w:tblLayout w:type="fixed"/>
        <w:tblCellMar>
          <w:top w:w="0" w:type="dxa"/>
          <w:left w:w="108" w:type="dxa"/>
          <w:bottom w:w="0" w:type="dxa"/>
          <w:right w:w="108" w:type="dxa"/>
        </w:tblCellMar>
      </w:tblPr>
      <w:tblGrid>
        <w:gridCol w:w="3449"/>
        <w:gridCol w:w="645"/>
        <w:gridCol w:w="1182"/>
        <w:gridCol w:w="1162"/>
        <w:gridCol w:w="984"/>
        <w:gridCol w:w="1152"/>
        <w:gridCol w:w="840"/>
        <w:gridCol w:w="1284"/>
        <w:gridCol w:w="1090"/>
        <w:gridCol w:w="612"/>
        <w:gridCol w:w="680"/>
      </w:tblGrid>
      <w:tr>
        <w:tblPrEx>
          <w:tblCellMar>
            <w:top w:w="0" w:type="dxa"/>
            <w:left w:w="108" w:type="dxa"/>
            <w:bottom w:w="0" w:type="dxa"/>
            <w:right w:w="108" w:type="dxa"/>
          </w:tblCellMar>
        </w:tblPrEx>
        <w:trPr>
          <w:trHeight w:val="450" w:hRule="atLeast"/>
        </w:trPr>
        <w:tc>
          <w:tcPr>
            <w:tcW w:w="4094" w:type="dxa"/>
            <w:gridSpan w:val="2"/>
            <w:tcBorders>
              <w:top w:val="nil"/>
              <w:left w:val="nil"/>
              <w:bottom w:val="nil"/>
              <w:right w:val="nil"/>
            </w:tcBorders>
            <w:noWrap/>
            <w:vAlign w:val="center"/>
          </w:tcPr>
          <w:p>
            <w:pPr>
              <w:widowControl/>
              <w:jc w:val="left"/>
              <w:textAlignment w:val="center"/>
              <w:rPr>
                <w:rFonts w:ascii="Arial Narrow" w:hAnsi="Arial Narrow" w:eastAsia="Arial Narrow" w:cs="Arial Narrow"/>
                <w:b/>
                <w:bCs/>
                <w:color w:val="000000"/>
                <w:sz w:val="22"/>
                <w:szCs w:val="22"/>
              </w:rPr>
            </w:pPr>
            <w:r>
              <w:rPr>
                <w:rFonts w:hint="eastAsia" w:ascii="宋体" w:hAnsi="宋体" w:cs="宋体"/>
                <w:b/>
                <w:bCs/>
                <w:color w:val="000000"/>
                <w:kern w:val="0"/>
                <w:sz w:val="22"/>
                <w:szCs w:val="22"/>
                <w:lang w:bidi="ar"/>
              </w:rPr>
              <w:t>附表</w:t>
            </w:r>
            <w:r>
              <w:rPr>
                <w:rFonts w:ascii="Arial Narrow" w:hAnsi="Arial Narrow" w:eastAsia="Arial Narrow" w:cs="Arial Narrow"/>
                <w:b/>
                <w:bCs/>
                <w:color w:val="000000"/>
                <w:kern w:val="0"/>
                <w:sz w:val="22"/>
                <w:szCs w:val="22"/>
                <w:lang w:bidi="ar"/>
              </w:rPr>
              <w:t>1</w:t>
            </w:r>
            <w:r>
              <w:rPr>
                <w:rFonts w:hint="eastAsia" w:ascii="宋体" w:hAnsi="宋体" w:cs="宋体"/>
                <w:b/>
                <w:bCs/>
                <w:color w:val="000000"/>
                <w:kern w:val="0"/>
                <w:sz w:val="22"/>
                <w:szCs w:val="22"/>
                <w:lang w:bidi="ar"/>
              </w:rPr>
              <w:t>：</w:t>
            </w:r>
          </w:p>
        </w:tc>
        <w:tc>
          <w:tcPr>
            <w:tcW w:w="1182"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c>
          <w:tcPr>
            <w:tcW w:w="1162"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c>
          <w:tcPr>
            <w:tcW w:w="984"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c>
          <w:tcPr>
            <w:tcW w:w="1152"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c>
          <w:tcPr>
            <w:tcW w:w="840"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c>
          <w:tcPr>
            <w:tcW w:w="1284"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c>
          <w:tcPr>
            <w:tcW w:w="1090"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c>
          <w:tcPr>
            <w:tcW w:w="612"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c>
          <w:tcPr>
            <w:tcW w:w="680"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r>
      <w:tr>
        <w:tblPrEx>
          <w:tblCellMar>
            <w:top w:w="0" w:type="dxa"/>
            <w:left w:w="108" w:type="dxa"/>
            <w:bottom w:w="0" w:type="dxa"/>
            <w:right w:w="108" w:type="dxa"/>
          </w:tblCellMar>
        </w:tblPrEx>
        <w:trPr>
          <w:trHeight w:val="600" w:hRule="atLeast"/>
        </w:trPr>
        <w:tc>
          <w:tcPr>
            <w:tcW w:w="13080" w:type="dxa"/>
            <w:gridSpan w:val="11"/>
            <w:tcBorders>
              <w:top w:val="nil"/>
              <w:left w:val="nil"/>
              <w:bottom w:val="nil"/>
              <w:right w:val="nil"/>
            </w:tcBorders>
            <w:noWrap/>
            <w:vAlign w:val="center"/>
          </w:tcPr>
          <w:p>
            <w:pPr>
              <w:widowControl/>
              <w:jc w:val="center"/>
              <w:textAlignment w:val="center"/>
              <w:rPr>
                <w:rFonts w:ascii="黑体" w:hAnsi="宋体" w:eastAsia="黑体" w:cs="黑体"/>
                <w:b/>
                <w:bCs/>
                <w:color w:val="000000"/>
                <w:sz w:val="36"/>
                <w:szCs w:val="36"/>
              </w:rPr>
            </w:pPr>
            <w:r>
              <w:rPr>
                <w:rFonts w:hint="eastAsia" w:ascii="黑体" w:hAnsi="宋体" w:eastAsia="黑体" w:cs="黑体"/>
                <w:b/>
                <w:bCs/>
                <w:color w:val="000000"/>
                <w:sz w:val="36"/>
                <w:szCs w:val="36"/>
              </w:rPr>
              <w:t>2016年非公开发行股票募集资金使用情况对照表</w:t>
            </w:r>
          </w:p>
        </w:tc>
      </w:tr>
      <w:tr>
        <w:tblPrEx>
          <w:tblCellMar>
            <w:top w:w="0" w:type="dxa"/>
            <w:left w:w="108" w:type="dxa"/>
            <w:bottom w:w="0" w:type="dxa"/>
            <w:right w:w="108" w:type="dxa"/>
          </w:tblCellMar>
        </w:tblPrEx>
        <w:trPr>
          <w:trHeight w:val="288" w:hRule="atLeast"/>
        </w:trPr>
        <w:tc>
          <w:tcPr>
            <w:tcW w:w="13080" w:type="dxa"/>
            <w:gridSpan w:val="11"/>
            <w:tcBorders>
              <w:top w:val="nil"/>
              <w:left w:val="nil"/>
              <w:bottom w:val="nil"/>
              <w:right w:val="nil"/>
            </w:tcBorders>
            <w:noWrap/>
            <w:vAlign w:val="center"/>
          </w:tcPr>
          <w:p>
            <w:pPr>
              <w:widowControl/>
              <w:jc w:val="center"/>
              <w:textAlignment w:val="center"/>
              <w:rPr>
                <w:rFonts w:ascii="Arial Narrow" w:hAnsi="Arial Narrow" w:eastAsia="Arial Narrow" w:cs="Arial Narrow"/>
                <w:b/>
                <w:bCs/>
                <w:color w:val="000000"/>
                <w:sz w:val="22"/>
                <w:szCs w:val="22"/>
              </w:rPr>
            </w:pPr>
            <w:r>
              <w:rPr>
                <w:rFonts w:ascii="Arial Narrow" w:hAnsi="Arial Narrow" w:eastAsia="Arial Narrow" w:cs="Arial Narrow"/>
                <w:b/>
                <w:bCs/>
                <w:color w:val="000000"/>
                <w:kern w:val="0"/>
                <w:sz w:val="22"/>
                <w:szCs w:val="22"/>
                <w:lang w:bidi="ar"/>
              </w:rPr>
              <w:t>20</w:t>
            </w:r>
            <w:r>
              <w:rPr>
                <w:rFonts w:hint="eastAsia" w:ascii="Arial Narrow" w:hAnsi="Arial Narrow" w:cs="Arial Narrow"/>
                <w:b/>
                <w:bCs/>
                <w:color w:val="000000"/>
                <w:kern w:val="0"/>
                <w:sz w:val="22"/>
                <w:szCs w:val="22"/>
                <w:lang w:bidi="ar"/>
              </w:rPr>
              <w:t>23</w:t>
            </w:r>
            <w:r>
              <w:rPr>
                <w:rFonts w:hint="eastAsia" w:ascii="宋体" w:hAnsi="宋体" w:cs="宋体"/>
                <w:b/>
                <w:bCs/>
                <w:color w:val="000000"/>
                <w:kern w:val="0"/>
                <w:sz w:val="22"/>
                <w:szCs w:val="22"/>
                <w:lang w:bidi="ar"/>
              </w:rPr>
              <w:t>年度</w:t>
            </w:r>
          </w:p>
        </w:tc>
      </w:tr>
      <w:tr>
        <w:tblPrEx>
          <w:tblCellMar>
            <w:top w:w="0" w:type="dxa"/>
            <w:left w:w="108" w:type="dxa"/>
            <w:bottom w:w="0" w:type="dxa"/>
            <w:right w:w="108" w:type="dxa"/>
          </w:tblCellMar>
        </w:tblPrEx>
        <w:trPr>
          <w:trHeight w:val="375" w:hRule="atLeast"/>
        </w:trPr>
        <w:tc>
          <w:tcPr>
            <w:tcW w:w="3449" w:type="dxa"/>
            <w:tcBorders>
              <w:top w:val="nil"/>
              <w:left w:val="nil"/>
              <w:bottom w:val="nil"/>
              <w:right w:val="nil"/>
            </w:tcBorders>
            <w:noWrap/>
            <w:vAlign w:val="center"/>
          </w:tcPr>
          <w:p>
            <w:pPr>
              <w:widowControl/>
              <w:jc w:val="left"/>
              <w:textAlignment w:val="center"/>
              <w:rPr>
                <w:rFonts w:ascii="Arial Narrow" w:hAnsi="Arial Narrow" w:eastAsia="Arial Narrow" w:cs="Arial Narrow"/>
                <w:b/>
                <w:bCs/>
                <w:color w:val="000000"/>
                <w:sz w:val="22"/>
                <w:szCs w:val="22"/>
              </w:rPr>
            </w:pPr>
            <w:r>
              <w:rPr>
                <w:rFonts w:hint="eastAsia" w:ascii="宋体" w:hAnsi="宋体" w:cs="宋体"/>
                <w:b/>
                <w:bCs/>
                <w:color w:val="000000"/>
                <w:kern w:val="0"/>
                <w:sz w:val="22"/>
                <w:szCs w:val="22"/>
                <w:lang w:bidi="ar"/>
              </w:rPr>
              <w:t>编制单位：吉林电力股份有限公司</w:t>
            </w:r>
          </w:p>
        </w:tc>
        <w:tc>
          <w:tcPr>
            <w:tcW w:w="645" w:type="dxa"/>
            <w:tcBorders>
              <w:top w:val="nil"/>
              <w:left w:val="nil"/>
              <w:bottom w:val="nil"/>
              <w:right w:val="nil"/>
            </w:tcBorders>
            <w:noWrap/>
            <w:vAlign w:val="center"/>
          </w:tcPr>
          <w:p>
            <w:pPr>
              <w:rPr>
                <w:rFonts w:ascii="Arial Narrow" w:hAnsi="Arial Narrow" w:eastAsia="Arial Narrow" w:cs="Arial Narrow"/>
                <w:color w:val="000000"/>
                <w:sz w:val="22"/>
                <w:szCs w:val="22"/>
              </w:rPr>
            </w:pPr>
          </w:p>
        </w:tc>
        <w:tc>
          <w:tcPr>
            <w:tcW w:w="1182" w:type="dxa"/>
            <w:tcBorders>
              <w:top w:val="nil"/>
              <w:left w:val="nil"/>
              <w:bottom w:val="nil"/>
              <w:right w:val="nil"/>
            </w:tcBorders>
            <w:noWrap/>
            <w:vAlign w:val="center"/>
          </w:tcPr>
          <w:p>
            <w:pPr>
              <w:rPr>
                <w:rFonts w:ascii="Arial Narrow" w:hAnsi="Arial Narrow" w:eastAsia="Arial Narrow" w:cs="Arial Narrow"/>
                <w:color w:val="000000"/>
                <w:sz w:val="22"/>
                <w:szCs w:val="22"/>
              </w:rPr>
            </w:pPr>
          </w:p>
        </w:tc>
        <w:tc>
          <w:tcPr>
            <w:tcW w:w="1162" w:type="dxa"/>
            <w:tcBorders>
              <w:top w:val="nil"/>
              <w:left w:val="nil"/>
              <w:bottom w:val="nil"/>
              <w:right w:val="nil"/>
            </w:tcBorders>
            <w:noWrap/>
            <w:vAlign w:val="center"/>
          </w:tcPr>
          <w:p>
            <w:pPr>
              <w:rPr>
                <w:rFonts w:ascii="Arial Narrow" w:hAnsi="Arial Narrow" w:eastAsia="Arial Narrow" w:cs="Arial Narrow"/>
                <w:color w:val="000000"/>
                <w:sz w:val="22"/>
                <w:szCs w:val="22"/>
              </w:rPr>
            </w:pPr>
          </w:p>
        </w:tc>
        <w:tc>
          <w:tcPr>
            <w:tcW w:w="984" w:type="dxa"/>
            <w:tcBorders>
              <w:top w:val="nil"/>
              <w:left w:val="nil"/>
              <w:bottom w:val="nil"/>
              <w:right w:val="nil"/>
            </w:tcBorders>
            <w:noWrap/>
            <w:vAlign w:val="center"/>
          </w:tcPr>
          <w:p>
            <w:pPr>
              <w:rPr>
                <w:rFonts w:ascii="Arial Narrow" w:hAnsi="Arial Narrow" w:eastAsia="Arial Narrow" w:cs="Arial Narrow"/>
                <w:color w:val="000000"/>
                <w:sz w:val="22"/>
                <w:szCs w:val="22"/>
              </w:rPr>
            </w:pPr>
          </w:p>
        </w:tc>
        <w:tc>
          <w:tcPr>
            <w:tcW w:w="1152" w:type="dxa"/>
            <w:tcBorders>
              <w:top w:val="nil"/>
              <w:left w:val="nil"/>
              <w:bottom w:val="nil"/>
              <w:right w:val="nil"/>
            </w:tcBorders>
            <w:noWrap/>
            <w:vAlign w:val="center"/>
          </w:tcPr>
          <w:p>
            <w:pPr>
              <w:rPr>
                <w:rFonts w:ascii="Arial Narrow" w:hAnsi="Arial Narrow" w:eastAsia="Arial Narrow" w:cs="Arial Narrow"/>
                <w:color w:val="000000"/>
                <w:sz w:val="22"/>
                <w:szCs w:val="22"/>
              </w:rPr>
            </w:pPr>
          </w:p>
        </w:tc>
        <w:tc>
          <w:tcPr>
            <w:tcW w:w="840" w:type="dxa"/>
            <w:tcBorders>
              <w:top w:val="nil"/>
              <w:left w:val="nil"/>
              <w:bottom w:val="nil"/>
              <w:right w:val="nil"/>
            </w:tcBorders>
            <w:noWrap/>
            <w:vAlign w:val="center"/>
          </w:tcPr>
          <w:p>
            <w:pPr>
              <w:rPr>
                <w:rFonts w:ascii="Arial Narrow" w:hAnsi="Arial Narrow" w:eastAsia="Arial Narrow" w:cs="Arial Narrow"/>
                <w:color w:val="000000"/>
                <w:sz w:val="22"/>
                <w:szCs w:val="22"/>
              </w:rPr>
            </w:pPr>
          </w:p>
        </w:tc>
        <w:tc>
          <w:tcPr>
            <w:tcW w:w="1284" w:type="dxa"/>
            <w:tcBorders>
              <w:top w:val="nil"/>
              <w:left w:val="nil"/>
              <w:bottom w:val="nil"/>
              <w:right w:val="nil"/>
            </w:tcBorders>
            <w:noWrap/>
            <w:vAlign w:val="center"/>
          </w:tcPr>
          <w:p>
            <w:pPr>
              <w:rPr>
                <w:rFonts w:ascii="Arial Narrow" w:hAnsi="Arial Narrow" w:eastAsia="Arial Narrow" w:cs="Arial Narrow"/>
                <w:color w:val="000000"/>
                <w:sz w:val="22"/>
                <w:szCs w:val="22"/>
              </w:rPr>
            </w:pPr>
          </w:p>
        </w:tc>
        <w:tc>
          <w:tcPr>
            <w:tcW w:w="2382" w:type="dxa"/>
            <w:gridSpan w:val="3"/>
            <w:tcBorders>
              <w:top w:val="nil"/>
              <w:left w:val="nil"/>
              <w:bottom w:val="single" w:color="000000" w:sz="8" w:space="0"/>
              <w:right w:val="nil"/>
            </w:tcBorders>
            <w:noWrap/>
            <w:vAlign w:val="center"/>
          </w:tcPr>
          <w:p>
            <w:pPr>
              <w:widowControl/>
              <w:jc w:val="right"/>
              <w:textAlignment w:val="center"/>
              <w:rPr>
                <w:rFonts w:ascii="Arial Narrow" w:hAnsi="Arial Narrow" w:eastAsia="Arial Narrow" w:cs="Arial Narrow"/>
                <w:b/>
                <w:bCs/>
                <w:color w:val="000000"/>
                <w:sz w:val="22"/>
                <w:szCs w:val="22"/>
              </w:rPr>
            </w:pPr>
            <w:r>
              <w:rPr>
                <w:rFonts w:hint="eastAsia" w:ascii="宋体" w:hAnsi="宋体" w:cs="宋体"/>
                <w:b/>
                <w:bCs/>
                <w:color w:val="000000"/>
                <w:kern w:val="0"/>
                <w:sz w:val="22"/>
                <w:szCs w:val="22"/>
                <w:lang w:bidi="ar"/>
              </w:rPr>
              <w:t>金额单位：人民币万元</w:t>
            </w:r>
          </w:p>
        </w:tc>
      </w:tr>
      <w:tr>
        <w:tblPrEx>
          <w:tblCellMar>
            <w:top w:w="0" w:type="dxa"/>
            <w:left w:w="108" w:type="dxa"/>
            <w:bottom w:w="0" w:type="dxa"/>
            <w:right w:w="108" w:type="dxa"/>
          </w:tblCellMar>
        </w:tblPrEx>
        <w:trPr>
          <w:trHeight w:val="330" w:hRule="atLeast"/>
        </w:trPr>
        <w:tc>
          <w:tcPr>
            <w:tcW w:w="5276" w:type="dxa"/>
            <w:gridSpan w:val="3"/>
            <w:tcBorders>
              <w:top w:val="single" w:color="000000" w:sz="8"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募集资金总额</w:t>
            </w:r>
          </w:p>
        </w:tc>
        <w:tc>
          <w:tcPr>
            <w:tcW w:w="2146" w:type="dxa"/>
            <w:gridSpan w:val="2"/>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 383,993.00 </w:t>
            </w:r>
          </w:p>
        </w:tc>
        <w:tc>
          <w:tcPr>
            <w:tcW w:w="4366" w:type="dxa"/>
            <w:gridSpan w:val="4"/>
            <w:tcBorders>
              <w:top w:val="single" w:color="000000" w:sz="8" w:space="0"/>
              <w:left w:val="single" w:color="000000" w:sz="4"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本年度投入募集资金总额</w:t>
            </w:r>
          </w:p>
        </w:tc>
        <w:tc>
          <w:tcPr>
            <w:tcW w:w="1292" w:type="dxa"/>
            <w:gridSpan w:val="2"/>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kern w:val="0"/>
                <w:sz w:val="22"/>
                <w:szCs w:val="22"/>
                <w:lang w:bidi="ar"/>
              </w:rPr>
              <w:t>1,030.06</w:t>
            </w:r>
            <w:r>
              <w:rPr>
                <w:rFonts w:ascii="Arial Narrow" w:hAnsi="Arial Narrow" w:eastAsia="Arial Narrow" w:cs="Arial Narrow"/>
                <w:color w:val="000000"/>
                <w:kern w:val="0"/>
                <w:sz w:val="22"/>
                <w:szCs w:val="22"/>
                <w:lang w:bidi="ar"/>
              </w:rPr>
              <w:t xml:space="preserve"> </w:t>
            </w:r>
          </w:p>
        </w:tc>
      </w:tr>
      <w:tr>
        <w:tblPrEx>
          <w:tblCellMar>
            <w:top w:w="0" w:type="dxa"/>
            <w:left w:w="108" w:type="dxa"/>
            <w:bottom w:w="0" w:type="dxa"/>
            <w:right w:w="108" w:type="dxa"/>
          </w:tblCellMar>
        </w:tblPrEx>
        <w:trPr>
          <w:trHeight w:val="330" w:hRule="atLeast"/>
        </w:trPr>
        <w:tc>
          <w:tcPr>
            <w:tcW w:w="52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报告期内变更用途的募集资金总额</w:t>
            </w:r>
          </w:p>
        </w:tc>
        <w:tc>
          <w:tcPr>
            <w:tcW w:w="214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r>
              <w:rPr>
                <w:rFonts w:hint="eastAsia" w:ascii="Arial Narrow" w:hAnsi="Arial Narrow" w:cs="Arial Narrow"/>
                <w:color w:val="000000"/>
                <w:sz w:val="22"/>
                <w:szCs w:val="22"/>
              </w:rPr>
              <w:t>0.00</w:t>
            </w:r>
          </w:p>
        </w:tc>
        <w:tc>
          <w:tcPr>
            <w:tcW w:w="4366"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已累计投入募集资金总额</w:t>
            </w:r>
          </w:p>
        </w:tc>
        <w:tc>
          <w:tcPr>
            <w:tcW w:w="129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 </w:t>
            </w:r>
            <w:r>
              <w:rPr>
                <w:rFonts w:hint="eastAsia" w:ascii="Arial Narrow" w:hAnsi="Arial Narrow" w:eastAsia="Arial Narrow" w:cs="Arial Narrow"/>
                <w:color w:val="000000"/>
                <w:kern w:val="0"/>
                <w:sz w:val="22"/>
                <w:szCs w:val="22"/>
                <w:lang w:bidi="ar"/>
              </w:rPr>
              <w:t>356,811.64</w:t>
            </w:r>
            <w:r>
              <w:rPr>
                <w:rFonts w:ascii="Arial Narrow" w:hAnsi="Arial Narrow" w:eastAsia="Arial Narrow" w:cs="Arial Narrow"/>
                <w:color w:val="000000"/>
                <w:kern w:val="0"/>
                <w:sz w:val="22"/>
                <w:szCs w:val="22"/>
                <w:lang w:bidi="ar"/>
              </w:rPr>
              <w:t xml:space="preserve"> </w:t>
            </w:r>
          </w:p>
        </w:tc>
      </w:tr>
      <w:tr>
        <w:tblPrEx>
          <w:tblCellMar>
            <w:top w:w="0" w:type="dxa"/>
            <w:left w:w="108" w:type="dxa"/>
            <w:bottom w:w="0" w:type="dxa"/>
            <w:right w:w="108" w:type="dxa"/>
          </w:tblCellMar>
        </w:tblPrEx>
        <w:trPr>
          <w:trHeight w:val="330" w:hRule="atLeast"/>
        </w:trPr>
        <w:tc>
          <w:tcPr>
            <w:tcW w:w="5276" w:type="dxa"/>
            <w:gridSpan w:val="3"/>
            <w:tcBorders>
              <w:top w:val="single" w:color="000000" w:sz="4" w:space="0"/>
              <w:left w:val="single" w:color="000000" w:sz="8" w:space="0"/>
              <w:bottom w:val="single" w:color="000000" w:sz="4" w:space="0"/>
              <w:right w:val="nil"/>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累计变更用途的募集资金总额</w:t>
            </w:r>
          </w:p>
        </w:tc>
        <w:tc>
          <w:tcPr>
            <w:tcW w:w="214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r>
              <w:rPr>
                <w:rFonts w:hint="eastAsia" w:ascii="Arial Narrow" w:hAnsi="Arial Narrow" w:cs="Arial Narrow"/>
                <w:color w:val="000000"/>
                <w:sz w:val="22"/>
                <w:szCs w:val="22"/>
              </w:rPr>
              <w:t>0.00</w:t>
            </w:r>
          </w:p>
        </w:tc>
        <w:tc>
          <w:tcPr>
            <w:tcW w:w="4366"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2"/>
                <w:szCs w:val="22"/>
              </w:rPr>
            </w:pPr>
          </w:p>
        </w:tc>
        <w:tc>
          <w:tcPr>
            <w:tcW w:w="129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r>
      <w:tr>
        <w:tblPrEx>
          <w:tblCellMar>
            <w:top w:w="0" w:type="dxa"/>
            <w:left w:w="108" w:type="dxa"/>
            <w:bottom w:w="0" w:type="dxa"/>
            <w:right w:w="108" w:type="dxa"/>
          </w:tblCellMar>
        </w:tblPrEx>
        <w:trPr>
          <w:trHeight w:val="330" w:hRule="atLeast"/>
        </w:trPr>
        <w:tc>
          <w:tcPr>
            <w:tcW w:w="52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累计变更用途的募集资金总额比例</w:t>
            </w:r>
          </w:p>
        </w:tc>
        <w:tc>
          <w:tcPr>
            <w:tcW w:w="214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r>
              <w:rPr>
                <w:rFonts w:hint="eastAsia" w:ascii="Arial Narrow" w:hAnsi="Arial Narrow" w:cs="Arial Narrow"/>
                <w:color w:val="000000"/>
                <w:sz w:val="22"/>
                <w:szCs w:val="22"/>
              </w:rPr>
              <w:t>0.00</w:t>
            </w:r>
          </w:p>
        </w:tc>
        <w:tc>
          <w:tcPr>
            <w:tcW w:w="4366"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2"/>
                <w:szCs w:val="22"/>
              </w:rPr>
            </w:pPr>
          </w:p>
        </w:tc>
        <w:tc>
          <w:tcPr>
            <w:tcW w:w="129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r>
      <w:tr>
        <w:tblPrEx>
          <w:tblCellMar>
            <w:top w:w="0" w:type="dxa"/>
            <w:left w:w="108" w:type="dxa"/>
            <w:bottom w:w="0" w:type="dxa"/>
            <w:right w:w="108" w:type="dxa"/>
          </w:tblCellMar>
        </w:tblPrEx>
        <w:trPr>
          <w:trHeight w:val="1050" w:hRule="atLeast"/>
        </w:trPr>
        <w:tc>
          <w:tcPr>
            <w:tcW w:w="3449"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承诺投资项目和超募资金投向</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是否已变更项目（含部分变更）</w:t>
            </w: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募集资金承诺投资总额</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调整后投资总额</w:t>
            </w:r>
            <w:r>
              <w:rPr>
                <w:rFonts w:ascii="Arial Narrow" w:hAnsi="Arial Narrow" w:eastAsia="Arial Narrow" w:cs="Arial Narrow"/>
                <w:color w:val="000000"/>
                <w:kern w:val="0"/>
                <w:sz w:val="22"/>
                <w:szCs w:val="22"/>
                <w:lang w:bidi="ar"/>
              </w:rPr>
              <w:t>(1)</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cs="Arial Narrow"/>
                <w:color w:val="000000"/>
                <w:sz w:val="22"/>
                <w:szCs w:val="22"/>
              </w:rPr>
            </w:pPr>
            <w:r>
              <w:rPr>
                <w:rFonts w:hint="eastAsia" w:ascii="宋体" w:hAnsi="宋体" w:cs="宋体"/>
                <w:color w:val="000000"/>
                <w:kern w:val="0"/>
                <w:sz w:val="22"/>
                <w:szCs w:val="22"/>
                <w:lang w:bidi="ar"/>
              </w:rPr>
              <w:t>本年度投入金额（问项目公司）</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截至期末累计投入金额</w:t>
            </w:r>
            <w:r>
              <w:rPr>
                <w:rFonts w:ascii="Arial Narrow" w:hAnsi="Arial Narrow" w:eastAsia="Arial Narrow" w:cs="Arial Narrow"/>
                <w:color w:val="000000"/>
                <w:kern w:val="0"/>
                <w:sz w:val="22"/>
                <w:szCs w:val="22"/>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截至期末投资进度（</w:t>
            </w:r>
            <w:r>
              <w:rPr>
                <w:rFonts w:ascii="Arial Narrow" w:hAnsi="Arial Narrow" w:eastAsia="Arial Narrow" w:cs="Arial Narrow"/>
                <w:color w:val="000000"/>
                <w:kern w:val="0"/>
                <w:sz w:val="22"/>
                <w:szCs w:val="22"/>
                <w:lang w:bidi="ar"/>
              </w:rPr>
              <w:t>%</w:t>
            </w:r>
            <w:r>
              <w:rPr>
                <w:rFonts w:hint="eastAsia" w:ascii="宋体" w:hAnsi="宋体" w:cs="宋体"/>
                <w:color w:val="000000"/>
                <w:kern w:val="0"/>
                <w:sz w:val="22"/>
                <w:szCs w:val="22"/>
                <w:lang w:bidi="ar"/>
              </w:rPr>
              <w:t>）</w:t>
            </w:r>
            <w:r>
              <w:rPr>
                <w:rFonts w:ascii="Arial Narrow" w:hAnsi="Arial Narrow" w:eastAsia="Arial Narrow" w:cs="Arial Narrow"/>
                <w:color w:val="000000"/>
                <w:kern w:val="0"/>
                <w:sz w:val="22"/>
                <w:szCs w:val="22"/>
                <w:lang w:bidi="ar"/>
              </w:rPr>
              <w:t>(3)</w:t>
            </w:r>
            <w:r>
              <w:rPr>
                <w:rFonts w:hint="eastAsia" w:ascii="宋体" w:hAnsi="宋体" w:cs="宋体"/>
                <w:color w:val="000000"/>
                <w:kern w:val="0"/>
                <w:sz w:val="22"/>
                <w:szCs w:val="22"/>
                <w:lang w:bidi="ar"/>
              </w:rPr>
              <w:t>＝</w:t>
            </w:r>
            <w:r>
              <w:rPr>
                <w:rFonts w:ascii="Arial Narrow" w:hAnsi="Arial Narrow" w:eastAsia="Arial Narrow" w:cs="Arial Narrow"/>
                <w:color w:val="000000"/>
                <w:kern w:val="0"/>
                <w:sz w:val="22"/>
                <w:szCs w:val="22"/>
                <w:lang w:bidi="ar"/>
              </w:rPr>
              <w:t>(2)/(1)</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项目达到预定可使用状态日期</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cs="Arial Narrow"/>
                <w:color w:val="000000"/>
                <w:sz w:val="22"/>
                <w:szCs w:val="22"/>
              </w:rPr>
            </w:pPr>
            <w:r>
              <w:rPr>
                <w:rFonts w:hint="eastAsia" w:ascii="宋体" w:hAnsi="宋体" w:cs="宋体"/>
                <w:color w:val="000000"/>
                <w:kern w:val="0"/>
                <w:sz w:val="22"/>
                <w:szCs w:val="22"/>
                <w:lang w:bidi="ar"/>
              </w:rPr>
              <w:t>本年度实现的效益</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是否达到预计效益</w:t>
            </w:r>
          </w:p>
        </w:tc>
        <w:tc>
          <w:tcPr>
            <w:tcW w:w="680"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项目可行性是否发生重大变化</w:t>
            </w:r>
          </w:p>
        </w:tc>
      </w:tr>
      <w:tr>
        <w:tblPrEx>
          <w:tblCellMar>
            <w:top w:w="0" w:type="dxa"/>
            <w:left w:w="108" w:type="dxa"/>
            <w:bottom w:w="0" w:type="dxa"/>
            <w:right w:w="108" w:type="dxa"/>
          </w:tblCellMar>
        </w:tblPrEx>
        <w:trPr>
          <w:trHeight w:val="400" w:hRule="atLeast"/>
        </w:trPr>
        <w:tc>
          <w:tcPr>
            <w:tcW w:w="3449"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承诺投资项目</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18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2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680"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2"/>
                <w:szCs w:val="22"/>
              </w:rPr>
            </w:pPr>
          </w:p>
        </w:tc>
      </w:tr>
      <w:tr>
        <w:tblPrEx>
          <w:tblCellMar>
            <w:top w:w="0" w:type="dxa"/>
            <w:left w:w="108" w:type="dxa"/>
            <w:bottom w:w="0" w:type="dxa"/>
            <w:right w:w="108" w:type="dxa"/>
          </w:tblCellMar>
        </w:tblPrEx>
        <w:trPr>
          <w:trHeight w:val="400" w:hRule="atLeast"/>
        </w:trPr>
        <w:tc>
          <w:tcPr>
            <w:tcW w:w="3449"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1</w:t>
            </w:r>
            <w:r>
              <w:rPr>
                <w:rFonts w:hint="eastAsia" w:ascii="宋体" w:hAnsi="宋体" w:cs="宋体"/>
                <w:color w:val="000000"/>
                <w:kern w:val="0"/>
                <w:sz w:val="22"/>
                <w:szCs w:val="22"/>
                <w:lang w:bidi="ar"/>
              </w:rPr>
              <w:t>、安徽南谯常山风电场项目</w:t>
            </w:r>
            <w:r>
              <w:rPr>
                <w:rFonts w:ascii="Arial Narrow" w:hAnsi="Arial Narrow" w:eastAsia="Arial Narrow" w:cs="Arial Narrow"/>
                <w:color w:val="000000"/>
                <w:kern w:val="0"/>
                <w:sz w:val="22"/>
                <w:szCs w:val="22"/>
                <w:lang w:bidi="ar"/>
              </w:rPr>
              <w:t xml:space="preserve"> </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 xml:space="preserve"> 否 </w:t>
            </w: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 30,999.00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30,999.00 </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cs="Arial Narrow"/>
                <w:color w:val="000000"/>
                <w:sz w:val="22"/>
                <w:szCs w:val="22"/>
              </w:rPr>
            </w:pPr>
            <w:r>
              <w:rPr>
                <w:rFonts w:hint="eastAsia" w:ascii="Arial Narrow" w:hAnsi="Arial Narrow" w:cs="Arial Narrow"/>
                <w:color w:val="000000"/>
                <w:sz w:val="22"/>
                <w:szCs w:val="22"/>
              </w:rPr>
              <w:t>0.00</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28,086.55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 90.60 </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2016年1月1日</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2"/>
                <w:szCs w:val="22"/>
                <w:lang w:bidi="ar"/>
              </w:rPr>
            </w:pPr>
            <w:r>
              <w:rPr>
                <w:rFonts w:ascii="Arial Narrow" w:hAnsi="Arial Narrow" w:eastAsia="Arial Narrow" w:cs="Arial Narrow"/>
                <w:color w:val="000000"/>
                <w:kern w:val="0"/>
                <w:sz w:val="22"/>
                <w:szCs w:val="22"/>
                <w:lang w:bidi="ar"/>
              </w:rPr>
              <w:t xml:space="preserve">1,594.36 </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是 </w:t>
            </w:r>
          </w:p>
        </w:tc>
        <w:tc>
          <w:tcPr>
            <w:tcW w:w="680"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 xml:space="preserve"> 否 </w:t>
            </w:r>
          </w:p>
        </w:tc>
      </w:tr>
      <w:tr>
        <w:tblPrEx>
          <w:tblCellMar>
            <w:top w:w="0" w:type="dxa"/>
            <w:left w:w="108" w:type="dxa"/>
            <w:bottom w:w="0" w:type="dxa"/>
            <w:right w:w="108" w:type="dxa"/>
          </w:tblCellMar>
        </w:tblPrEx>
        <w:trPr>
          <w:trHeight w:val="400" w:hRule="atLeast"/>
        </w:trPr>
        <w:tc>
          <w:tcPr>
            <w:tcW w:w="3449"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2</w:t>
            </w:r>
            <w:r>
              <w:rPr>
                <w:rFonts w:hint="eastAsia" w:ascii="宋体" w:hAnsi="宋体" w:cs="宋体"/>
                <w:color w:val="000000"/>
                <w:kern w:val="0"/>
                <w:sz w:val="22"/>
                <w:szCs w:val="22"/>
                <w:lang w:bidi="ar"/>
              </w:rPr>
              <w:t>、青海诺木洪大格勒河东风电场一</w:t>
            </w:r>
            <w:r>
              <w:rPr>
                <w:rFonts w:ascii="Arial Narrow" w:hAnsi="Arial Narrow" w:eastAsia="Arial Narrow" w:cs="Arial Narrow"/>
                <w:color w:val="000000"/>
                <w:kern w:val="0"/>
                <w:sz w:val="22"/>
                <w:szCs w:val="22"/>
                <w:lang w:bidi="ar"/>
              </w:rPr>
              <w:t xml:space="preserve"> </w:t>
            </w:r>
            <w:r>
              <w:rPr>
                <w:rFonts w:hint="eastAsia" w:ascii="宋体" w:hAnsi="宋体" w:cs="宋体"/>
                <w:color w:val="000000"/>
                <w:kern w:val="0"/>
                <w:sz w:val="22"/>
                <w:szCs w:val="22"/>
                <w:lang w:bidi="ar"/>
              </w:rPr>
              <w:t>期工程</w:t>
            </w:r>
            <w:r>
              <w:rPr>
                <w:rFonts w:ascii="Arial Narrow" w:hAnsi="Arial Narrow" w:eastAsia="Arial Narrow" w:cs="Arial Narrow"/>
                <w:color w:val="000000"/>
                <w:kern w:val="0"/>
                <w:sz w:val="22"/>
                <w:szCs w:val="22"/>
                <w:lang w:bidi="ar"/>
              </w:rPr>
              <w:t xml:space="preserve"> </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 xml:space="preserve"> 否 </w:t>
            </w: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 38,808.00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38,808.00 </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Arial Narrow" w:hAnsi="Arial Narrow" w:cs="Arial Narrow"/>
                <w:color w:val="000000"/>
                <w:sz w:val="22"/>
                <w:szCs w:val="22"/>
              </w:rPr>
              <w:t>0.00</w:t>
            </w:r>
            <w:r>
              <w:rPr>
                <w:rFonts w:ascii="Arial Narrow" w:hAnsi="Arial Narrow" w:eastAsia="Arial Narrow" w:cs="Arial Narrow"/>
                <w:color w:val="000000"/>
                <w:kern w:val="0"/>
                <w:sz w:val="22"/>
                <w:szCs w:val="22"/>
                <w:lang w:bidi="ar"/>
              </w:rPr>
              <w:t xml:space="preserve"> </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38,689.00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 99.69 </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2017年10月30日</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2"/>
                <w:szCs w:val="22"/>
                <w:lang w:bidi="ar"/>
              </w:rPr>
            </w:pPr>
            <w:r>
              <w:rPr>
                <w:rFonts w:ascii="Arial Narrow" w:hAnsi="Arial Narrow" w:eastAsia="Arial Narrow" w:cs="Arial Narrow"/>
                <w:color w:val="000000"/>
                <w:kern w:val="0"/>
                <w:sz w:val="22"/>
                <w:szCs w:val="22"/>
                <w:lang w:bidi="ar"/>
              </w:rPr>
              <w:t xml:space="preserve"> 613.95 </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eastAsia="Arial Narrow"/>
                <w:color w:val="000000"/>
                <w:kern w:val="0"/>
                <w:sz w:val="22"/>
                <w:szCs w:val="22"/>
                <w:lang w:bidi="ar"/>
              </w:rPr>
              <w:t xml:space="preserve">否 </w:t>
            </w:r>
          </w:p>
        </w:tc>
        <w:tc>
          <w:tcPr>
            <w:tcW w:w="680"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 xml:space="preserve"> 否 </w:t>
            </w:r>
          </w:p>
        </w:tc>
      </w:tr>
      <w:tr>
        <w:tblPrEx>
          <w:tblCellMar>
            <w:top w:w="0" w:type="dxa"/>
            <w:left w:w="108" w:type="dxa"/>
            <w:bottom w:w="0" w:type="dxa"/>
            <w:right w:w="108" w:type="dxa"/>
          </w:tblCellMar>
        </w:tblPrEx>
        <w:trPr>
          <w:trHeight w:val="400" w:hRule="atLeast"/>
        </w:trPr>
        <w:tc>
          <w:tcPr>
            <w:tcW w:w="3449"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3</w:t>
            </w:r>
            <w:r>
              <w:rPr>
                <w:rFonts w:hint="eastAsia" w:ascii="宋体" w:hAnsi="宋体" w:cs="宋体"/>
                <w:color w:val="000000"/>
                <w:kern w:val="0"/>
                <w:sz w:val="22"/>
                <w:szCs w:val="22"/>
                <w:lang w:bidi="ar"/>
              </w:rPr>
              <w:t>、吉林长岭腰井子风电场二期工程</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 xml:space="preserve"> 否 </w:t>
            </w: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 36,030.00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36,030.00 </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cs="Arial Narrow"/>
                <w:color w:val="000000"/>
                <w:sz w:val="22"/>
                <w:szCs w:val="22"/>
              </w:rPr>
            </w:pPr>
            <w:r>
              <w:rPr>
                <w:rFonts w:hint="eastAsia" w:ascii="Arial Narrow" w:hAnsi="Arial Narrow" w:cs="Arial Narrow"/>
                <w:color w:val="000000"/>
                <w:sz w:val="22"/>
                <w:szCs w:val="22"/>
              </w:rPr>
              <w:t>0.00</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35,092.07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97.40 </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2016年10月1日</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2"/>
                <w:szCs w:val="22"/>
                <w:lang w:bidi="ar"/>
              </w:rPr>
            </w:pPr>
            <w:r>
              <w:rPr>
                <w:rFonts w:ascii="Arial Narrow" w:hAnsi="Arial Narrow" w:eastAsia="Arial Narrow" w:cs="Arial Narrow"/>
                <w:color w:val="000000"/>
                <w:kern w:val="0"/>
                <w:sz w:val="22"/>
                <w:szCs w:val="22"/>
                <w:lang w:bidi="ar"/>
              </w:rPr>
              <w:t xml:space="preserve"> 1,831.89 </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 xml:space="preserve">是 </w:t>
            </w:r>
          </w:p>
        </w:tc>
        <w:tc>
          <w:tcPr>
            <w:tcW w:w="680"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 xml:space="preserve"> 否 </w:t>
            </w:r>
          </w:p>
        </w:tc>
      </w:tr>
      <w:tr>
        <w:tblPrEx>
          <w:tblCellMar>
            <w:top w:w="0" w:type="dxa"/>
            <w:left w:w="108" w:type="dxa"/>
            <w:bottom w:w="0" w:type="dxa"/>
            <w:right w:w="108" w:type="dxa"/>
          </w:tblCellMar>
        </w:tblPrEx>
        <w:trPr>
          <w:trHeight w:val="400" w:hRule="atLeast"/>
        </w:trPr>
        <w:tc>
          <w:tcPr>
            <w:tcW w:w="3449"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4</w:t>
            </w:r>
            <w:r>
              <w:rPr>
                <w:rFonts w:hint="eastAsia" w:ascii="宋体" w:hAnsi="宋体" w:cs="宋体"/>
                <w:color w:val="000000"/>
                <w:kern w:val="0"/>
                <w:sz w:val="22"/>
                <w:szCs w:val="22"/>
                <w:lang w:bidi="ar"/>
              </w:rPr>
              <w:t>、吉林长岭三十号风电场二期工程</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 xml:space="preserve"> 否 </w:t>
            </w: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 35,374.00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35,374.00 </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Arial Narrow" w:hAnsi="Arial Narrow" w:cs="Arial Narrow"/>
                <w:color w:val="000000"/>
                <w:kern w:val="0"/>
                <w:sz w:val="22"/>
                <w:szCs w:val="22"/>
                <w:lang w:bidi="ar"/>
              </w:rPr>
              <w:t>0</w:t>
            </w:r>
            <w:r>
              <w:rPr>
                <w:rFonts w:hint="eastAsia" w:ascii="Arial Narrow" w:hAnsi="Arial Narrow" w:cs="Arial Narrow"/>
                <w:color w:val="000000"/>
                <w:sz w:val="22"/>
                <w:szCs w:val="22"/>
              </w:rPr>
              <w:t>.00</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30,833.56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87.16 </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2016年6月1日</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2"/>
                <w:szCs w:val="22"/>
                <w:lang w:bidi="ar"/>
              </w:rPr>
            </w:pPr>
            <w:r>
              <w:rPr>
                <w:rFonts w:ascii="Arial Narrow" w:hAnsi="Arial Narrow" w:eastAsia="Arial Narrow" w:cs="Arial Narrow"/>
                <w:color w:val="000000"/>
                <w:kern w:val="0"/>
                <w:sz w:val="22"/>
                <w:szCs w:val="22"/>
                <w:lang w:bidi="ar"/>
              </w:rPr>
              <w:t xml:space="preserve"> 2,012.09 </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 xml:space="preserve">是 </w:t>
            </w:r>
          </w:p>
        </w:tc>
        <w:tc>
          <w:tcPr>
            <w:tcW w:w="680"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 xml:space="preserve"> 否 </w:t>
            </w:r>
          </w:p>
        </w:tc>
      </w:tr>
      <w:tr>
        <w:tblPrEx>
          <w:tblCellMar>
            <w:top w:w="0" w:type="dxa"/>
            <w:left w:w="108" w:type="dxa"/>
            <w:bottom w:w="0" w:type="dxa"/>
            <w:right w:w="108" w:type="dxa"/>
          </w:tblCellMar>
        </w:tblPrEx>
        <w:trPr>
          <w:trHeight w:val="400" w:hRule="atLeast"/>
        </w:trPr>
        <w:tc>
          <w:tcPr>
            <w:tcW w:w="3449"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5</w:t>
            </w:r>
            <w:r>
              <w:rPr>
                <w:rFonts w:hint="eastAsia" w:ascii="宋体" w:hAnsi="宋体" w:cs="宋体"/>
                <w:color w:val="000000"/>
                <w:kern w:val="0"/>
                <w:sz w:val="22"/>
                <w:szCs w:val="22"/>
                <w:lang w:bidi="ar"/>
              </w:rPr>
              <w:t>、河南省辉县市南旋风风电场工程</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 xml:space="preserve"> 否 </w:t>
            </w: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 81,348.00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81,348.00 </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kern w:val="0"/>
                <w:sz w:val="22"/>
                <w:szCs w:val="22"/>
                <w:lang w:bidi="ar"/>
              </w:rPr>
              <w:t>1,030.06</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kern w:val="0"/>
                <w:sz w:val="22"/>
                <w:szCs w:val="22"/>
                <w:lang w:bidi="ar"/>
              </w:rPr>
              <w:t xml:space="preserve">67,384.24 </w:t>
            </w:r>
            <w:r>
              <w:rPr>
                <w:rFonts w:ascii="Arial Narrow" w:hAnsi="Arial Narrow" w:eastAsia="Arial Narrow" w:cs="Arial Narrow"/>
                <w:color w:val="000000"/>
                <w:kern w:val="0"/>
                <w:sz w:val="22"/>
                <w:szCs w:val="22"/>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kern w:val="0"/>
                <w:sz w:val="22"/>
                <w:szCs w:val="22"/>
                <w:lang w:bidi="ar"/>
              </w:rPr>
              <w:t>82.83</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2018年1月1日</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2"/>
                <w:szCs w:val="22"/>
                <w:lang w:bidi="ar"/>
              </w:rPr>
            </w:pPr>
            <w:r>
              <w:rPr>
                <w:rFonts w:ascii="Arial Narrow" w:hAnsi="Arial Narrow" w:eastAsia="Arial Narrow" w:cs="Arial Narrow"/>
                <w:color w:val="000000"/>
                <w:kern w:val="0"/>
                <w:sz w:val="22"/>
                <w:szCs w:val="22"/>
                <w:lang w:bidi="ar"/>
              </w:rPr>
              <w:t xml:space="preserve"> 3,315.72 </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eastAsia="Arial Narrow"/>
                <w:color w:val="000000"/>
                <w:kern w:val="0"/>
                <w:sz w:val="22"/>
                <w:szCs w:val="22"/>
                <w:lang w:bidi="ar"/>
              </w:rPr>
              <w:t>否</w:t>
            </w:r>
          </w:p>
        </w:tc>
        <w:tc>
          <w:tcPr>
            <w:tcW w:w="680"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 xml:space="preserve"> 否 </w:t>
            </w:r>
          </w:p>
        </w:tc>
      </w:tr>
      <w:tr>
        <w:tblPrEx>
          <w:tblCellMar>
            <w:top w:w="0" w:type="dxa"/>
            <w:left w:w="108" w:type="dxa"/>
            <w:bottom w:w="0" w:type="dxa"/>
            <w:right w:w="108" w:type="dxa"/>
          </w:tblCellMar>
        </w:tblPrEx>
        <w:trPr>
          <w:trHeight w:val="400" w:hRule="atLeast"/>
        </w:trPr>
        <w:tc>
          <w:tcPr>
            <w:tcW w:w="3449"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6</w:t>
            </w:r>
            <w:r>
              <w:rPr>
                <w:rFonts w:hint="eastAsia" w:ascii="宋体" w:hAnsi="宋体" w:cs="宋体"/>
                <w:color w:val="000000"/>
                <w:kern w:val="0"/>
                <w:sz w:val="22"/>
                <w:szCs w:val="22"/>
                <w:lang w:bidi="ar"/>
              </w:rPr>
              <w:t>、收购三塘湖</w:t>
            </w:r>
            <w:r>
              <w:rPr>
                <w:rFonts w:ascii="Arial Narrow" w:hAnsi="Arial Narrow" w:eastAsia="Arial Narrow" w:cs="Arial Narrow"/>
                <w:color w:val="000000"/>
                <w:kern w:val="0"/>
                <w:sz w:val="22"/>
                <w:szCs w:val="22"/>
                <w:lang w:bidi="ar"/>
              </w:rPr>
              <w:t xml:space="preserve"> 99MW </w:t>
            </w:r>
            <w:r>
              <w:rPr>
                <w:rFonts w:hint="eastAsia" w:ascii="宋体" w:hAnsi="宋体" w:cs="宋体"/>
                <w:color w:val="000000"/>
                <w:kern w:val="0"/>
                <w:sz w:val="22"/>
                <w:szCs w:val="22"/>
                <w:lang w:bidi="ar"/>
              </w:rPr>
              <w:t>风电并网发电项目</w:t>
            </w:r>
            <w:r>
              <w:rPr>
                <w:rFonts w:ascii="Arial Narrow" w:hAnsi="Arial Narrow" w:eastAsia="Arial Narrow" w:cs="Arial Narrow"/>
                <w:color w:val="000000"/>
                <w:kern w:val="0"/>
                <w:sz w:val="22"/>
                <w:szCs w:val="22"/>
                <w:lang w:bidi="ar"/>
              </w:rPr>
              <w:t xml:space="preserve"> </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 xml:space="preserve"> 否 </w:t>
            </w: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 23,114.00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23,114.00 </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cs="Arial Narrow"/>
                <w:color w:val="000000"/>
                <w:sz w:val="22"/>
                <w:szCs w:val="22"/>
              </w:rPr>
            </w:pPr>
            <w:r>
              <w:rPr>
                <w:rFonts w:hint="eastAsia" w:ascii="Arial Narrow" w:hAnsi="Arial Narrow" w:cs="Arial Narrow"/>
                <w:color w:val="000000"/>
                <w:sz w:val="22"/>
                <w:szCs w:val="22"/>
              </w:rPr>
              <w:t>0.00</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23,115.00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100.00 </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2016</w:t>
            </w:r>
            <w:r>
              <w:rPr>
                <w:rFonts w:hint="eastAsia" w:ascii="宋体" w:hAnsi="宋体" w:cs="宋体"/>
                <w:color w:val="000000"/>
                <w:kern w:val="0"/>
                <w:sz w:val="22"/>
                <w:szCs w:val="22"/>
                <w:lang w:bidi="ar"/>
              </w:rPr>
              <w:t>年</w:t>
            </w:r>
            <w:r>
              <w:rPr>
                <w:rFonts w:ascii="Arial Narrow" w:hAnsi="Arial Narrow" w:eastAsia="Arial Narrow" w:cs="Arial Narrow"/>
                <w:color w:val="000000"/>
                <w:kern w:val="0"/>
                <w:sz w:val="22"/>
                <w:szCs w:val="22"/>
                <w:lang w:bidi="ar"/>
              </w:rPr>
              <w:t>6</w:t>
            </w:r>
            <w:r>
              <w:rPr>
                <w:rFonts w:hint="eastAsia" w:ascii="宋体" w:hAnsi="宋体" w:cs="宋体"/>
                <w:color w:val="000000"/>
                <w:kern w:val="0"/>
                <w:sz w:val="22"/>
                <w:szCs w:val="22"/>
                <w:lang w:bidi="ar"/>
              </w:rPr>
              <w:t>月</w:t>
            </w:r>
            <w:r>
              <w:rPr>
                <w:rFonts w:ascii="Arial Narrow" w:hAnsi="Arial Narrow" w:eastAsia="Arial Narrow" w:cs="Arial Narrow"/>
                <w:color w:val="000000"/>
                <w:kern w:val="0"/>
                <w:sz w:val="22"/>
                <w:szCs w:val="22"/>
                <w:lang w:bidi="ar"/>
              </w:rPr>
              <w:t>30</w:t>
            </w:r>
            <w:r>
              <w:rPr>
                <w:rFonts w:hint="eastAsia" w:ascii="宋体" w:hAnsi="宋体" w:cs="宋体"/>
                <w:color w:val="000000"/>
                <w:kern w:val="0"/>
                <w:sz w:val="22"/>
                <w:szCs w:val="22"/>
                <w:lang w:bidi="ar"/>
              </w:rPr>
              <w:t>日（收购）</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2"/>
                <w:szCs w:val="22"/>
                <w:lang w:bidi="ar"/>
              </w:rPr>
            </w:pPr>
            <w:r>
              <w:rPr>
                <w:rFonts w:ascii="Arial Narrow" w:hAnsi="Arial Narrow" w:eastAsia="Arial Narrow" w:cs="Arial Narrow"/>
                <w:color w:val="000000"/>
                <w:kern w:val="0"/>
                <w:sz w:val="22"/>
                <w:szCs w:val="22"/>
                <w:lang w:bidi="ar"/>
              </w:rPr>
              <w:t xml:space="preserve"> 2,326.41 </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eastAsia="Arial Narrow"/>
                <w:color w:val="000000"/>
                <w:kern w:val="0"/>
                <w:sz w:val="22"/>
                <w:szCs w:val="22"/>
                <w:lang w:bidi="ar"/>
              </w:rPr>
              <w:t xml:space="preserve">否 </w:t>
            </w:r>
          </w:p>
        </w:tc>
        <w:tc>
          <w:tcPr>
            <w:tcW w:w="680"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 xml:space="preserve"> 否 </w:t>
            </w:r>
          </w:p>
        </w:tc>
      </w:tr>
      <w:tr>
        <w:tblPrEx>
          <w:tblCellMar>
            <w:top w:w="0" w:type="dxa"/>
            <w:left w:w="108" w:type="dxa"/>
            <w:bottom w:w="0" w:type="dxa"/>
            <w:right w:w="108" w:type="dxa"/>
          </w:tblCellMar>
        </w:tblPrEx>
        <w:trPr>
          <w:trHeight w:val="400" w:hRule="atLeast"/>
        </w:trPr>
        <w:tc>
          <w:tcPr>
            <w:tcW w:w="3449"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7</w:t>
            </w:r>
            <w:r>
              <w:rPr>
                <w:rFonts w:hint="eastAsia" w:ascii="宋体" w:hAnsi="宋体" w:cs="宋体"/>
                <w:color w:val="000000"/>
                <w:kern w:val="0"/>
                <w:sz w:val="22"/>
                <w:szCs w:val="22"/>
                <w:lang w:bidi="ar"/>
              </w:rPr>
              <w:t>、收购陕西定边</w:t>
            </w:r>
            <w:r>
              <w:rPr>
                <w:rFonts w:ascii="Arial Narrow" w:hAnsi="Arial Narrow" w:eastAsia="Arial Narrow" w:cs="Arial Narrow"/>
                <w:color w:val="000000"/>
                <w:kern w:val="0"/>
                <w:sz w:val="22"/>
                <w:szCs w:val="22"/>
                <w:lang w:bidi="ar"/>
              </w:rPr>
              <w:t xml:space="preserve"> 150MW </w:t>
            </w:r>
            <w:r>
              <w:rPr>
                <w:rFonts w:hint="eastAsia" w:ascii="宋体" w:hAnsi="宋体" w:cs="宋体"/>
                <w:color w:val="000000"/>
                <w:kern w:val="0"/>
                <w:sz w:val="22"/>
                <w:szCs w:val="22"/>
                <w:lang w:bidi="ar"/>
              </w:rPr>
              <w:t>并网光伏发电项目</w:t>
            </w:r>
            <w:r>
              <w:rPr>
                <w:rFonts w:ascii="Arial Narrow" w:hAnsi="Arial Narrow" w:eastAsia="Arial Narrow" w:cs="Arial Narrow"/>
                <w:color w:val="000000"/>
                <w:kern w:val="0"/>
                <w:sz w:val="22"/>
                <w:szCs w:val="22"/>
                <w:lang w:bidi="ar"/>
              </w:rPr>
              <w:t xml:space="preserve"> </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 xml:space="preserve"> 否 </w:t>
            </w: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 38,320.00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38,320.00 </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cs="Arial Narrow"/>
                <w:color w:val="000000"/>
                <w:sz w:val="22"/>
                <w:szCs w:val="22"/>
              </w:rPr>
            </w:pPr>
            <w:r>
              <w:rPr>
                <w:rFonts w:hint="eastAsia" w:ascii="Arial Narrow" w:hAnsi="Arial Narrow" w:cs="Arial Narrow"/>
                <w:color w:val="000000"/>
                <w:sz w:val="22"/>
                <w:szCs w:val="22"/>
              </w:rPr>
              <w:t>0.00</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38,320.00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100.00 </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2016年6月30日（收购）</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2"/>
                <w:szCs w:val="22"/>
                <w:lang w:bidi="ar"/>
              </w:rPr>
            </w:pPr>
            <w:r>
              <w:rPr>
                <w:rFonts w:ascii="Arial Narrow" w:hAnsi="Arial Narrow" w:eastAsia="Arial Narrow" w:cs="Arial Narrow"/>
                <w:color w:val="000000"/>
                <w:kern w:val="0"/>
                <w:sz w:val="22"/>
                <w:szCs w:val="22"/>
                <w:lang w:bidi="ar"/>
              </w:rPr>
              <w:t xml:space="preserve"> 4,461.15 </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否 </w:t>
            </w:r>
          </w:p>
        </w:tc>
        <w:tc>
          <w:tcPr>
            <w:tcW w:w="680"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 xml:space="preserve"> 否 </w:t>
            </w:r>
          </w:p>
        </w:tc>
      </w:tr>
      <w:tr>
        <w:tblPrEx>
          <w:tblCellMar>
            <w:top w:w="0" w:type="dxa"/>
            <w:left w:w="108" w:type="dxa"/>
            <w:bottom w:w="0" w:type="dxa"/>
            <w:right w:w="108" w:type="dxa"/>
          </w:tblCellMar>
        </w:tblPrEx>
        <w:trPr>
          <w:trHeight w:val="400" w:hRule="atLeast"/>
        </w:trPr>
        <w:tc>
          <w:tcPr>
            <w:tcW w:w="3449"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8</w:t>
            </w:r>
            <w:r>
              <w:rPr>
                <w:rFonts w:eastAsia="Arial Narrow"/>
                <w:color w:val="000000"/>
                <w:kern w:val="0"/>
                <w:sz w:val="22"/>
                <w:szCs w:val="22"/>
                <w:lang w:bidi="ar"/>
              </w:rPr>
              <w:t>、补充流动资金</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 xml:space="preserve"> 否 </w:t>
            </w: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100,000.00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100,000.00 </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cs="Arial Narrow"/>
                <w:color w:val="000000"/>
                <w:sz w:val="22"/>
                <w:szCs w:val="22"/>
              </w:rPr>
            </w:pPr>
            <w:r>
              <w:rPr>
                <w:rFonts w:hint="eastAsia" w:ascii="Arial Narrow" w:hAnsi="Arial Narrow" w:cs="Arial Narrow"/>
                <w:color w:val="000000"/>
                <w:sz w:val="22"/>
                <w:szCs w:val="22"/>
              </w:rPr>
              <w:t>0.00</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95,291.22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 95.29 </w:t>
            </w:r>
          </w:p>
        </w:tc>
        <w:tc>
          <w:tcPr>
            <w:tcW w:w="12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cs="Arial Narrow"/>
                <w:color w:val="000000"/>
                <w:sz w:val="22"/>
                <w:szCs w:val="22"/>
              </w:rPr>
            </w:pPr>
            <w:r>
              <w:rPr>
                <w:rFonts w:hint="eastAsia" w:ascii="Arial Narrow" w:hAnsi="Arial Narrow" w:cs="Arial Narrow"/>
                <w:color w:val="000000"/>
                <w:sz w:val="22"/>
                <w:szCs w:val="22"/>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cs="Arial Narrow"/>
                <w:color w:val="000000"/>
                <w:sz w:val="22"/>
                <w:szCs w:val="22"/>
              </w:rPr>
            </w:pPr>
            <w:r>
              <w:rPr>
                <w:rFonts w:hint="eastAsia" w:ascii="Arial Narrow" w:hAnsi="Arial Narrow" w:cs="Arial Narrow"/>
                <w:color w:val="000000"/>
                <w:sz w:val="22"/>
                <w:szCs w:val="22"/>
              </w:rPr>
              <w:t>-</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cs="Arial Narrow"/>
                <w:color w:val="000000"/>
                <w:sz w:val="22"/>
                <w:szCs w:val="22"/>
              </w:rPr>
            </w:pPr>
            <w:r>
              <w:rPr>
                <w:rFonts w:hint="eastAsia" w:ascii="Arial Narrow" w:hAnsi="Arial Narrow" w:cs="Arial Narrow"/>
                <w:color w:val="000000"/>
                <w:sz w:val="22"/>
                <w:szCs w:val="22"/>
              </w:rPr>
              <w:t>-</w:t>
            </w:r>
          </w:p>
        </w:tc>
        <w:tc>
          <w:tcPr>
            <w:tcW w:w="680"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cs="Arial Narrow"/>
                <w:color w:val="000000"/>
                <w:sz w:val="22"/>
                <w:szCs w:val="22"/>
              </w:rPr>
            </w:pPr>
            <w:r>
              <w:rPr>
                <w:rFonts w:hint="eastAsia" w:ascii="Arial Narrow" w:hAnsi="Arial Narrow" w:cs="Arial Narrow"/>
                <w:color w:val="000000"/>
                <w:sz w:val="22"/>
                <w:szCs w:val="22"/>
              </w:rPr>
              <w:t>-</w:t>
            </w:r>
          </w:p>
        </w:tc>
      </w:tr>
      <w:tr>
        <w:tblPrEx>
          <w:tblCellMar>
            <w:top w:w="0" w:type="dxa"/>
            <w:left w:w="108" w:type="dxa"/>
            <w:bottom w:w="0" w:type="dxa"/>
            <w:right w:w="108" w:type="dxa"/>
          </w:tblCellMar>
        </w:tblPrEx>
        <w:trPr>
          <w:trHeight w:val="400" w:hRule="atLeast"/>
        </w:trPr>
        <w:tc>
          <w:tcPr>
            <w:tcW w:w="3449"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b/>
                <w:bCs/>
                <w:color w:val="000000"/>
                <w:sz w:val="22"/>
                <w:szCs w:val="22"/>
              </w:rPr>
            </w:pPr>
            <w:r>
              <w:rPr>
                <w:rFonts w:hint="eastAsia" w:ascii="宋体" w:hAnsi="宋体" w:cs="宋体"/>
                <w:b/>
                <w:bCs/>
                <w:color w:val="000000"/>
                <w:kern w:val="0"/>
                <w:sz w:val="22"/>
                <w:szCs w:val="22"/>
                <w:lang w:bidi="ar"/>
              </w:rPr>
              <w:t>承诺投资项目小计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383,993.00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383,993.00 </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kern w:val="0"/>
                <w:sz w:val="22"/>
                <w:szCs w:val="22"/>
                <w:lang w:bidi="ar"/>
              </w:rPr>
              <w:t>1,030.06</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kern w:val="0"/>
                <w:sz w:val="22"/>
                <w:szCs w:val="22"/>
                <w:lang w:bidi="ar"/>
              </w:rPr>
              <w:t xml:space="preserve">356,811.64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Arial Narrow" w:hAnsi="Arial Narrow" w:cs="Arial Narrow"/>
                <w:color w:val="000000"/>
                <w:kern w:val="0"/>
                <w:sz w:val="22"/>
                <w:szCs w:val="22"/>
                <w:lang w:bidi="ar"/>
              </w:rPr>
              <w:t>-</w:t>
            </w:r>
            <w:r>
              <w:rPr>
                <w:rFonts w:ascii="Arial Narrow" w:hAnsi="Arial Narrow" w:eastAsia="Arial Narrow" w:cs="Arial Narrow"/>
                <w:color w:val="000000"/>
                <w:kern w:val="0"/>
                <w:sz w:val="22"/>
                <w:szCs w:val="22"/>
                <w:lang w:bidi="ar"/>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cs="Arial Narrow"/>
                <w:color w:val="000000"/>
                <w:sz w:val="22"/>
                <w:szCs w:val="22"/>
              </w:rPr>
            </w:pPr>
            <w:r>
              <w:rPr>
                <w:rFonts w:hint="eastAsia" w:ascii="Arial Narrow" w:hAnsi="Arial Narrow" w:cs="Arial Narrow"/>
                <w:color w:val="000000"/>
                <w:sz w:val="22"/>
                <w:szCs w:val="22"/>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kern w:val="0"/>
                <w:sz w:val="22"/>
                <w:szCs w:val="22"/>
                <w:lang w:bidi="ar"/>
              </w:rPr>
              <w:t xml:space="preserve">16,155.57 </w:t>
            </w:r>
            <w:r>
              <w:rPr>
                <w:rFonts w:ascii="Arial Narrow" w:hAnsi="Arial Narrow" w:eastAsia="Arial Narrow" w:cs="Arial Narrow"/>
                <w:color w:val="000000"/>
                <w:kern w:val="0"/>
                <w:sz w:val="22"/>
                <w:szCs w:val="22"/>
                <w:lang w:bidi="ar"/>
              </w:rPr>
              <w:t xml:space="preserve"> </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cs="Arial Narrow"/>
                <w:color w:val="000000"/>
                <w:sz w:val="22"/>
                <w:szCs w:val="22"/>
              </w:rPr>
            </w:pPr>
            <w:r>
              <w:rPr>
                <w:rFonts w:hint="eastAsia" w:ascii="Arial Narrow" w:hAnsi="Arial Narrow" w:cs="Arial Narrow"/>
                <w:color w:val="000000"/>
                <w:sz w:val="22"/>
                <w:szCs w:val="22"/>
              </w:rPr>
              <w:t>-</w:t>
            </w:r>
          </w:p>
        </w:tc>
        <w:tc>
          <w:tcPr>
            <w:tcW w:w="680"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cs="Arial Narrow"/>
                <w:color w:val="000000"/>
                <w:sz w:val="22"/>
                <w:szCs w:val="22"/>
              </w:rPr>
            </w:pPr>
            <w:r>
              <w:rPr>
                <w:rFonts w:hint="eastAsia" w:ascii="Arial Narrow" w:hAnsi="Arial Narrow" w:cs="Arial Narrow"/>
                <w:color w:val="000000"/>
                <w:sz w:val="22"/>
                <w:szCs w:val="22"/>
              </w:rPr>
              <w:t>-</w:t>
            </w:r>
          </w:p>
        </w:tc>
      </w:tr>
      <w:tr>
        <w:tblPrEx>
          <w:tblCellMar>
            <w:top w:w="0" w:type="dxa"/>
            <w:left w:w="108" w:type="dxa"/>
            <w:bottom w:w="0" w:type="dxa"/>
            <w:right w:w="108" w:type="dxa"/>
          </w:tblCellMar>
        </w:tblPrEx>
        <w:trPr>
          <w:trHeight w:val="400" w:hRule="atLeast"/>
        </w:trPr>
        <w:tc>
          <w:tcPr>
            <w:tcW w:w="3449"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超募资金投向</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18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2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680"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2"/>
                <w:szCs w:val="22"/>
              </w:rPr>
            </w:pPr>
          </w:p>
        </w:tc>
      </w:tr>
      <w:tr>
        <w:tblPrEx>
          <w:tblCellMar>
            <w:top w:w="0" w:type="dxa"/>
            <w:left w:w="108" w:type="dxa"/>
            <w:bottom w:w="0" w:type="dxa"/>
            <w:right w:w="108" w:type="dxa"/>
          </w:tblCellMar>
        </w:tblPrEx>
        <w:trPr>
          <w:trHeight w:val="400" w:hRule="atLeast"/>
        </w:trPr>
        <w:tc>
          <w:tcPr>
            <w:tcW w:w="3449"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归还银行贷款（如有）</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18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2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680"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2"/>
                <w:szCs w:val="22"/>
              </w:rPr>
            </w:pPr>
          </w:p>
        </w:tc>
      </w:tr>
      <w:tr>
        <w:tblPrEx>
          <w:tblCellMar>
            <w:top w:w="0" w:type="dxa"/>
            <w:left w:w="108" w:type="dxa"/>
            <w:bottom w:w="0" w:type="dxa"/>
            <w:right w:w="108" w:type="dxa"/>
          </w:tblCellMar>
        </w:tblPrEx>
        <w:trPr>
          <w:trHeight w:val="400" w:hRule="atLeast"/>
        </w:trPr>
        <w:tc>
          <w:tcPr>
            <w:tcW w:w="3449"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补充流动资金（如有）</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18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2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680"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2"/>
                <w:szCs w:val="22"/>
              </w:rPr>
            </w:pPr>
          </w:p>
        </w:tc>
      </w:tr>
      <w:tr>
        <w:tblPrEx>
          <w:tblCellMar>
            <w:top w:w="0" w:type="dxa"/>
            <w:left w:w="108" w:type="dxa"/>
            <w:bottom w:w="0" w:type="dxa"/>
            <w:right w:w="108" w:type="dxa"/>
          </w:tblCellMar>
        </w:tblPrEx>
        <w:trPr>
          <w:trHeight w:val="400" w:hRule="atLeast"/>
        </w:trPr>
        <w:tc>
          <w:tcPr>
            <w:tcW w:w="3449"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b/>
                <w:bCs/>
                <w:color w:val="000000"/>
                <w:sz w:val="22"/>
                <w:szCs w:val="22"/>
              </w:rPr>
            </w:pPr>
            <w:r>
              <w:rPr>
                <w:rFonts w:hint="eastAsia" w:ascii="宋体" w:hAnsi="宋体" w:cs="宋体"/>
                <w:b/>
                <w:bCs/>
                <w:color w:val="000000"/>
                <w:kern w:val="0"/>
                <w:sz w:val="22"/>
                <w:szCs w:val="22"/>
                <w:lang w:bidi="ar"/>
              </w:rPr>
              <w:t>超募资金投向小计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18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2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680"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2"/>
                <w:szCs w:val="22"/>
              </w:rPr>
            </w:pPr>
          </w:p>
        </w:tc>
      </w:tr>
      <w:tr>
        <w:tblPrEx>
          <w:tblCellMar>
            <w:top w:w="0" w:type="dxa"/>
            <w:left w:w="108" w:type="dxa"/>
            <w:bottom w:w="0" w:type="dxa"/>
            <w:right w:w="108" w:type="dxa"/>
          </w:tblCellMar>
        </w:tblPrEx>
        <w:trPr>
          <w:trHeight w:val="400" w:hRule="atLeast"/>
        </w:trPr>
        <w:tc>
          <w:tcPr>
            <w:tcW w:w="3449"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b/>
                <w:bCs/>
                <w:color w:val="000000"/>
                <w:sz w:val="22"/>
                <w:szCs w:val="22"/>
              </w:rPr>
            </w:pPr>
            <w:r>
              <w:rPr>
                <w:rFonts w:hint="eastAsia" w:ascii="宋体" w:hAnsi="宋体" w:cs="宋体"/>
                <w:b/>
                <w:bCs/>
                <w:color w:val="000000"/>
                <w:kern w:val="0"/>
                <w:sz w:val="22"/>
                <w:szCs w:val="22"/>
                <w:lang w:bidi="ar"/>
              </w:rPr>
              <w:t>合计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2"/>
                <w:szCs w:val="22"/>
              </w:rPr>
            </w:pP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383,993.00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ascii="Arial Narrow" w:hAnsi="Arial Narrow" w:eastAsia="Arial Narrow" w:cs="Arial Narrow"/>
                <w:color w:val="000000"/>
                <w:kern w:val="0"/>
                <w:sz w:val="22"/>
                <w:szCs w:val="22"/>
                <w:lang w:bidi="ar"/>
              </w:rPr>
              <w:t xml:space="preserve">383,993.00 </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kern w:val="0"/>
                <w:sz w:val="22"/>
                <w:szCs w:val="22"/>
                <w:lang w:bidi="ar"/>
              </w:rPr>
              <w:t>1,030.06</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kern w:val="0"/>
                <w:sz w:val="22"/>
                <w:szCs w:val="22"/>
                <w:lang w:bidi="ar"/>
              </w:rPr>
              <w:t xml:space="preserve">356,811.64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cs="Arial Narrow"/>
                <w:color w:val="000000"/>
                <w:sz w:val="22"/>
                <w:szCs w:val="22"/>
              </w:rPr>
            </w:pPr>
            <w:r>
              <w:rPr>
                <w:rFonts w:ascii="Arial Narrow" w:hAnsi="Arial Narrow" w:eastAsia="Arial Narrow" w:cs="Arial Narrow"/>
                <w:color w:val="000000"/>
                <w:kern w:val="0"/>
                <w:sz w:val="22"/>
                <w:szCs w:val="22"/>
                <w:lang w:bidi="ar"/>
              </w:rPr>
              <w:t xml:space="preserve"> </w:t>
            </w:r>
            <w:r>
              <w:rPr>
                <w:rFonts w:hint="eastAsia" w:ascii="Arial Narrow" w:hAnsi="Arial Narrow" w:cs="Arial Narrow"/>
                <w:color w:val="000000"/>
                <w:kern w:val="0"/>
                <w:sz w:val="22"/>
                <w:szCs w:val="22"/>
                <w:lang w:bidi="ar"/>
              </w:rPr>
              <w:t>-</w:t>
            </w:r>
          </w:p>
        </w:tc>
        <w:tc>
          <w:tcPr>
            <w:tcW w:w="12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cs="Arial Narrow"/>
                <w:color w:val="000000"/>
                <w:sz w:val="22"/>
                <w:szCs w:val="22"/>
              </w:rPr>
            </w:pPr>
            <w:r>
              <w:rPr>
                <w:rFonts w:hint="eastAsia" w:ascii="Arial Narrow" w:hAnsi="Arial Narrow" w:cs="Arial Narrow"/>
                <w:color w:val="000000"/>
                <w:sz w:val="22"/>
                <w:szCs w:val="22"/>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kern w:val="0"/>
                <w:sz w:val="22"/>
                <w:szCs w:val="22"/>
                <w:lang w:bidi="ar"/>
              </w:rPr>
              <w:t xml:space="preserve">16,155.57 </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cs="Arial Narrow"/>
                <w:color w:val="000000"/>
                <w:sz w:val="22"/>
                <w:szCs w:val="22"/>
              </w:rPr>
            </w:pPr>
            <w:r>
              <w:rPr>
                <w:rFonts w:hint="eastAsia" w:ascii="Arial Narrow" w:hAnsi="Arial Narrow" w:cs="Arial Narrow"/>
                <w:color w:val="000000"/>
                <w:sz w:val="22"/>
                <w:szCs w:val="22"/>
              </w:rPr>
              <w:t>-</w:t>
            </w:r>
          </w:p>
        </w:tc>
        <w:tc>
          <w:tcPr>
            <w:tcW w:w="680"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cs="Arial Narrow"/>
                <w:color w:val="000000"/>
                <w:sz w:val="22"/>
                <w:szCs w:val="22"/>
              </w:rPr>
            </w:pPr>
            <w:r>
              <w:rPr>
                <w:rFonts w:hint="eastAsia" w:ascii="Arial Narrow" w:hAnsi="Arial Narrow" w:cs="Arial Narrow"/>
                <w:color w:val="000000"/>
                <w:sz w:val="22"/>
                <w:szCs w:val="22"/>
              </w:rPr>
              <w:t>-</w:t>
            </w:r>
          </w:p>
        </w:tc>
      </w:tr>
      <w:tr>
        <w:tblPrEx>
          <w:tblCellMar>
            <w:top w:w="0" w:type="dxa"/>
            <w:left w:w="108" w:type="dxa"/>
            <w:bottom w:w="0" w:type="dxa"/>
            <w:right w:w="108" w:type="dxa"/>
          </w:tblCellMar>
        </w:tblPrEx>
        <w:trPr>
          <w:trHeight w:val="1605" w:hRule="atLeast"/>
        </w:trPr>
        <w:tc>
          <w:tcPr>
            <w:tcW w:w="6438"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未达到计划进度或预计收益的情况和原因</w:t>
            </w:r>
          </w:p>
        </w:tc>
        <w:tc>
          <w:tcPr>
            <w:tcW w:w="6642" w:type="dxa"/>
            <w:gridSpan w:val="7"/>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本报告期上述募投项目，实现收益16,155.57万元，部分项目未达到预期收益的原因如下：</w:t>
            </w:r>
          </w:p>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1.青海诺木洪大格勒河东风电场一期工程未达到预计收益的原因为，存在区域限电严峻的因素，导致发电量有所减少。</w:t>
            </w:r>
          </w:p>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2.河南省辉县市南旋风风电场工程未达到预计收益的原因为，因本年全年风力的影响，全年发电量较上年同比减少。</w:t>
            </w:r>
          </w:p>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3.三塘湖99MW风电并网发电项目未达到预计收益的原因为，受外送安全约束，常规电源调峰不足、新能源增速过快影响以及陕西区域限电对发电影响较大。</w:t>
            </w:r>
          </w:p>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 xml:space="preserve">4.陕西定边150MW并网光伏发电项目未达到预计收益的原因为，受外送安全约束，常规电源调峰不足、新能源增速过快影响以及陕西区域限电对发电影响较大。 </w:t>
            </w:r>
          </w:p>
        </w:tc>
      </w:tr>
      <w:tr>
        <w:tblPrEx>
          <w:tblCellMar>
            <w:top w:w="0" w:type="dxa"/>
            <w:left w:w="108" w:type="dxa"/>
            <w:bottom w:w="0" w:type="dxa"/>
            <w:right w:w="108" w:type="dxa"/>
          </w:tblCellMar>
        </w:tblPrEx>
        <w:trPr>
          <w:trHeight w:val="345" w:hRule="atLeast"/>
        </w:trPr>
        <w:tc>
          <w:tcPr>
            <w:tcW w:w="6438"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项目可行性发生重大变化的情况说明</w:t>
            </w:r>
          </w:p>
        </w:tc>
        <w:tc>
          <w:tcPr>
            <w:tcW w:w="664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不适用</w:t>
            </w:r>
          </w:p>
        </w:tc>
      </w:tr>
      <w:tr>
        <w:tblPrEx>
          <w:tblCellMar>
            <w:top w:w="0" w:type="dxa"/>
            <w:left w:w="108" w:type="dxa"/>
            <w:bottom w:w="0" w:type="dxa"/>
            <w:right w:w="108" w:type="dxa"/>
          </w:tblCellMar>
        </w:tblPrEx>
        <w:trPr>
          <w:trHeight w:val="345" w:hRule="atLeast"/>
        </w:trPr>
        <w:tc>
          <w:tcPr>
            <w:tcW w:w="6438"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超募资金的金额、用途及使用进展情况</w:t>
            </w:r>
          </w:p>
        </w:tc>
        <w:tc>
          <w:tcPr>
            <w:tcW w:w="664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不适用</w:t>
            </w:r>
          </w:p>
        </w:tc>
      </w:tr>
      <w:tr>
        <w:tblPrEx>
          <w:tblCellMar>
            <w:top w:w="0" w:type="dxa"/>
            <w:left w:w="108" w:type="dxa"/>
            <w:bottom w:w="0" w:type="dxa"/>
            <w:right w:w="108" w:type="dxa"/>
          </w:tblCellMar>
        </w:tblPrEx>
        <w:trPr>
          <w:trHeight w:val="345" w:hRule="atLeast"/>
        </w:trPr>
        <w:tc>
          <w:tcPr>
            <w:tcW w:w="6438"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募集资金投资项目实施地点变更情况</w:t>
            </w:r>
          </w:p>
        </w:tc>
        <w:tc>
          <w:tcPr>
            <w:tcW w:w="664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不适用</w:t>
            </w:r>
          </w:p>
        </w:tc>
      </w:tr>
      <w:tr>
        <w:tblPrEx>
          <w:tblCellMar>
            <w:top w:w="0" w:type="dxa"/>
            <w:left w:w="108" w:type="dxa"/>
            <w:bottom w:w="0" w:type="dxa"/>
            <w:right w:w="108" w:type="dxa"/>
          </w:tblCellMar>
        </w:tblPrEx>
        <w:trPr>
          <w:trHeight w:val="345" w:hRule="atLeast"/>
        </w:trPr>
        <w:tc>
          <w:tcPr>
            <w:tcW w:w="6438"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募集资金投资项目实施方式调整情况</w:t>
            </w:r>
          </w:p>
        </w:tc>
        <w:tc>
          <w:tcPr>
            <w:tcW w:w="664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不适用</w:t>
            </w:r>
          </w:p>
        </w:tc>
      </w:tr>
      <w:tr>
        <w:tblPrEx>
          <w:tblCellMar>
            <w:top w:w="0" w:type="dxa"/>
            <w:left w:w="108" w:type="dxa"/>
            <w:bottom w:w="0" w:type="dxa"/>
            <w:right w:w="108" w:type="dxa"/>
          </w:tblCellMar>
        </w:tblPrEx>
        <w:trPr>
          <w:trHeight w:val="1499" w:hRule="atLeast"/>
        </w:trPr>
        <w:tc>
          <w:tcPr>
            <w:tcW w:w="6438"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cs="Arial Narrow"/>
                <w:color w:val="000000"/>
                <w:sz w:val="22"/>
                <w:szCs w:val="22"/>
              </w:rPr>
            </w:pPr>
            <w:r>
              <w:rPr>
                <w:rFonts w:hint="eastAsia" w:ascii="宋体" w:hAnsi="宋体" w:cs="宋体"/>
                <w:color w:val="000000"/>
                <w:kern w:val="0"/>
                <w:sz w:val="22"/>
                <w:szCs w:val="22"/>
                <w:lang w:bidi="ar"/>
              </w:rPr>
              <w:t>募集资金投资项目先期投入及置换情况</w:t>
            </w:r>
          </w:p>
        </w:tc>
        <w:tc>
          <w:tcPr>
            <w:tcW w:w="6642" w:type="dxa"/>
            <w:gridSpan w:val="7"/>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公司对上述1-7项目，前期预先自筹资金投入额185,231.38万元。公司于2016年12月26日召开第七届董事会第七次会议审议通过了《关于使用募集资金置换预先</w:t>
            </w:r>
            <w:r>
              <w:rPr>
                <w:rFonts w:hint="eastAsia" w:ascii="Arial Narrow" w:hAnsi="Arial Narrow" w:cs="Arial Narrow"/>
                <w:color w:val="000000"/>
                <w:sz w:val="22"/>
                <w:szCs w:val="22"/>
                <w:lang w:eastAsia="zh-CN"/>
              </w:rPr>
              <w:t>已</w:t>
            </w:r>
            <w:r>
              <w:rPr>
                <w:rFonts w:hint="eastAsia" w:ascii="Arial Narrow" w:hAnsi="Arial Narrow" w:eastAsia="Arial Narrow" w:cs="Arial Narrow"/>
                <w:color w:val="000000"/>
                <w:sz w:val="22"/>
                <w:szCs w:val="22"/>
              </w:rPr>
              <w:t xml:space="preserve">投入募投项目自筹资金的议案》，同意公司使用募集资金185,230.38万元置换预先已投入募集资金投资项目的自筹资金。 </w:t>
            </w:r>
          </w:p>
        </w:tc>
      </w:tr>
      <w:tr>
        <w:tblPrEx>
          <w:tblCellMar>
            <w:top w:w="0" w:type="dxa"/>
            <w:left w:w="108" w:type="dxa"/>
            <w:bottom w:w="0" w:type="dxa"/>
            <w:right w:w="108" w:type="dxa"/>
          </w:tblCellMar>
        </w:tblPrEx>
        <w:trPr>
          <w:trHeight w:val="1476" w:hRule="atLeast"/>
        </w:trPr>
        <w:tc>
          <w:tcPr>
            <w:tcW w:w="6438"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cs="Arial Narrow"/>
                <w:color w:val="000000"/>
                <w:sz w:val="22"/>
                <w:szCs w:val="22"/>
              </w:rPr>
            </w:pPr>
            <w:r>
              <w:rPr>
                <w:rFonts w:hint="eastAsia" w:ascii="宋体" w:hAnsi="宋体" w:cs="宋体"/>
                <w:color w:val="000000"/>
                <w:kern w:val="0"/>
                <w:sz w:val="22"/>
                <w:szCs w:val="22"/>
                <w:lang w:bidi="ar"/>
              </w:rPr>
              <w:t>用闲置募集资金暂时补充流动资金情况</w:t>
            </w:r>
          </w:p>
        </w:tc>
        <w:tc>
          <w:tcPr>
            <w:tcW w:w="6642" w:type="dxa"/>
            <w:gridSpan w:val="7"/>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公司于2023年4月26日召开第九届董事会第七次会议审议通过了《关于使用闲置募集资金暂时补充流动资金的议案》，同意使用不超过23,600万元的闲置募集资金暂时补充流动资金，使用期限于本次董事会审议批准之日起不超过12个月。截至2023年12月31日，公司使用22,491.49万元闲置募集</w:t>
            </w:r>
            <w:r>
              <w:rPr>
                <w:rFonts w:hint="eastAsia" w:ascii="Arial Narrow" w:hAnsi="Arial Narrow" w:cs="Arial Narrow"/>
                <w:color w:val="000000"/>
                <w:sz w:val="22"/>
                <w:szCs w:val="22"/>
                <w:lang w:eastAsia="zh-CN"/>
              </w:rPr>
              <w:t>资金</w:t>
            </w:r>
            <w:r>
              <w:rPr>
                <w:rFonts w:hint="eastAsia" w:ascii="Arial Narrow" w:hAnsi="Arial Narrow" w:eastAsia="Arial Narrow" w:cs="Arial Narrow"/>
                <w:color w:val="000000"/>
                <w:sz w:val="22"/>
                <w:szCs w:val="22"/>
              </w:rPr>
              <w:t>暂时补充流动资金。</w:t>
            </w:r>
          </w:p>
        </w:tc>
      </w:tr>
      <w:tr>
        <w:tblPrEx>
          <w:tblCellMar>
            <w:top w:w="0" w:type="dxa"/>
            <w:left w:w="108" w:type="dxa"/>
            <w:bottom w:w="0" w:type="dxa"/>
            <w:right w:w="108" w:type="dxa"/>
          </w:tblCellMar>
        </w:tblPrEx>
        <w:trPr>
          <w:trHeight w:val="345" w:hRule="atLeast"/>
        </w:trPr>
        <w:tc>
          <w:tcPr>
            <w:tcW w:w="6438"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用闲置募集资金进行现金管理情况</w:t>
            </w:r>
          </w:p>
        </w:tc>
        <w:tc>
          <w:tcPr>
            <w:tcW w:w="6642" w:type="dxa"/>
            <w:gridSpan w:val="7"/>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不适用</w:t>
            </w:r>
          </w:p>
        </w:tc>
      </w:tr>
      <w:tr>
        <w:tblPrEx>
          <w:tblCellMar>
            <w:top w:w="0" w:type="dxa"/>
            <w:left w:w="108" w:type="dxa"/>
            <w:bottom w:w="0" w:type="dxa"/>
            <w:right w:w="108" w:type="dxa"/>
          </w:tblCellMar>
        </w:tblPrEx>
        <w:trPr>
          <w:trHeight w:val="345" w:hRule="atLeast"/>
        </w:trPr>
        <w:tc>
          <w:tcPr>
            <w:tcW w:w="6438"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项目实施出现募集资金结余的金额及原因</w:t>
            </w:r>
          </w:p>
        </w:tc>
        <w:tc>
          <w:tcPr>
            <w:tcW w:w="6642" w:type="dxa"/>
            <w:gridSpan w:val="7"/>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不适用</w:t>
            </w:r>
          </w:p>
        </w:tc>
      </w:tr>
      <w:tr>
        <w:tblPrEx>
          <w:tblCellMar>
            <w:top w:w="0" w:type="dxa"/>
            <w:left w:w="108" w:type="dxa"/>
            <w:bottom w:w="0" w:type="dxa"/>
            <w:right w:w="108" w:type="dxa"/>
          </w:tblCellMar>
        </w:tblPrEx>
        <w:trPr>
          <w:trHeight w:val="1050" w:hRule="atLeast"/>
        </w:trPr>
        <w:tc>
          <w:tcPr>
            <w:tcW w:w="6438"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尚未使用的募集资金用途及去向</w:t>
            </w:r>
          </w:p>
        </w:tc>
        <w:tc>
          <w:tcPr>
            <w:tcW w:w="6642" w:type="dxa"/>
            <w:gridSpan w:val="7"/>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截至2023年12月31日，尚未使用的募集资金中，22,491.49万元用于暂时补充流动资金，募集资金专户余额合计167.63万元，严格按照《募集资金管理办法》对募集资金进行专户管理，尚未使用的募集资金，均存放于银行监管账户。</w:t>
            </w:r>
          </w:p>
        </w:tc>
      </w:tr>
      <w:tr>
        <w:tblPrEx>
          <w:tblCellMar>
            <w:top w:w="0" w:type="dxa"/>
            <w:left w:w="108" w:type="dxa"/>
            <w:bottom w:w="0" w:type="dxa"/>
            <w:right w:w="108" w:type="dxa"/>
          </w:tblCellMar>
        </w:tblPrEx>
        <w:trPr>
          <w:trHeight w:val="345" w:hRule="atLeast"/>
        </w:trPr>
        <w:tc>
          <w:tcPr>
            <w:tcW w:w="6438" w:type="dxa"/>
            <w:gridSpan w:val="4"/>
            <w:tcBorders>
              <w:top w:val="single" w:color="000000" w:sz="4" w:space="0"/>
              <w:left w:val="single" w:color="000000" w:sz="8" w:space="0"/>
              <w:bottom w:val="single" w:color="000000" w:sz="8"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募集资金使用及披露中存在的问题或其他情况</w:t>
            </w:r>
          </w:p>
        </w:tc>
        <w:tc>
          <w:tcPr>
            <w:tcW w:w="6642" w:type="dxa"/>
            <w:gridSpan w:val="7"/>
            <w:tcBorders>
              <w:top w:val="single" w:color="000000" w:sz="4" w:space="0"/>
              <w:left w:val="single" w:color="000000" w:sz="4" w:space="0"/>
              <w:bottom w:val="single" w:color="000000" w:sz="8" w:space="0"/>
              <w:right w:val="single" w:color="000000" w:sz="4" w:space="0"/>
            </w:tcBorders>
            <w:vAlign w:val="center"/>
          </w:tcPr>
          <w:p>
            <w:pPr>
              <w:widowControl/>
              <w:jc w:val="left"/>
              <w:textAlignment w:val="center"/>
              <w:rPr>
                <w:rFonts w:ascii="Arial Narrow" w:hAnsi="Arial Narrow" w:eastAsia="Arial Narrow" w:cs="Arial Narrow"/>
                <w:color w:val="000000"/>
                <w:sz w:val="22"/>
                <w:szCs w:val="22"/>
              </w:rPr>
            </w:pPr>
            <w:r>
              <w:rPr>
                <w:rFonts w:hint="eastAsia" w:ascii="宋体" w:hAnsi="宋体" w:cs="宋体"/>
                <w:color w:val="000000"/>
                <w:kern w:val="0"/>
                <w:sz w:val="22"/>
                <w:szCs w:val="22"/>
                <w:lang w:bidi="ar"/>
              </w:rPr>
              <w:t>不适用</w:t>
            </w:r>
          </w:p>
        </w:tc>
      </w:tr>
    </w:tbl>
    <w:p>
      <w:pPr>
        <w:pStyle w:val="36"/>
        <w:adjustRightInd/>
        <w:spacing w:line="580" w:lineRule="exact"/>
      </w:pPr>
    </w:p>
    <w:tbl>
      <w:tblPr>
        <w:tblStyle w:val="6"/>
        <w:tblW w:w="0" w:type="auto"/>
        <w:tblInd w:w="96" w:type="dxa"/>
        <w:tblLayout w:type="fixed"/>
        <w:tblCellMar>
          <w:top w:w="0" w:type="dxa"/>
          <w:left w:w="108" w:type="dxa"/>
          <w:bottom w:w="0" w:type="dxa"/>
          <w:right w:w="108" w:type="dxa"/>
        </w:tblCellMar>
      </w:tblPr>
      <w:tblGrid>
        <w:gridCol w:w="3140"/>
        <w:gridCol w:w="488"/>
        <w:gridCol w:w="1245"/>
        <w:gridCol w:w="1162"/>
        <w:gridCol w:w="1140"/>
        <w:gridCol w:w="1185"/>
        <w:gridCol w:w="788"/>
        <w:gridCol w:w="1260"/>
        <w:gridCol w:w="1147"/>
        <w:gridCol w:w="480"/>
        <w:gridCol w:w="597"/>
      </w:tblGrid>
      <w:tr>
        <w:tblPrEx>
          <w:tblCellMar>
            <w:top w:w="0" w:type="dxa"/>
            <w:left w:w="108" w:type="dxa"/>
            <w:bottom w:w="0" w:type="dxa"/>
            <w:right w:w="108" w:type="dxa"/>
          </w:tblCellMar>
        </w:tblPrEx>
        <w:trPr>
          <w:trHeight w:val="288" w:hRule="atLeast"/>
        </w:trPr>
        <w:tc>
          <w:tcPr>
            <w:tcW w:w="3628" w:type="dxa"/>
            <w:gridSpan w:val="2"/>
            <w:tcBorders>
              <w:top w:val="nil"/>
              <w:left w:val="nil"/>
              <w:bottom w:val="nil"/>
              <w:right w:val="nil"/>
            </w:tcBorders>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附表2：</w:t>
            </w:r>
          </w:p>
        </w:tc>
        <w:tc>
          <w:tcPr>
            <w:tcW w:w="1245"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c>
          <w:tcPr>
            <w:tcW w:w="1162"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c>
          <w:tcPr>
            <w:tcW w:w="1140"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c>
          <w:tcPr>
            <w:tcW w:w="1185"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c>
          <w:tcPr>
            <w:tcW w:w="788"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c>
          <w:tcPr>
            <w:tcW w:w="1260"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c>
          <w:tcPr>
            <w:tcW w:w="1147"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c>
          <w:tcPr>
            <w:tcW w:w="480"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c>
          <w:tcPr>
            <w:tcW w:w="597" w:type="dxa"/>
            <w:tcBorders>
              <w:top w:val="nil"/>
              <w:left w:val="nil"/>
              <w:bottom w:val="nil"/>
              <w:right w:val="nil"/>
            </w:tcBorders>
            <w:noWrap/>
            <w:vAlign w:val="center"/>
          </w:tcPr>
          <w:p>
            <w:pPr>
              <w:jc w:val="center"/>
              <w:rPr>
                <w:rFonts w:ascii="Arial Narrow" w:hAnsi="Arial Narrow" w:eastAsia="Arial Narrow" w:cs="Arial Narrow"/>
                <w:color w:val="000000"/>
                <w:sz w:val="22"/>
                <w:szCs w:val="22"/>
              </w:rPr>
            </w:pPr>
          </w:p>
        </w:tc>
      </w:tr>
      <w:tr>
        <w:tblPrEx>
          <w:tblCellMar>
            <w:top w:w="0" w:type="dxa"/>
            <w:left w:w="108" w:type="dxa"/>
            <w:bottom w:w="0" w:type="dxa"/>
            <w:right w:w="108" w:type="dxa"/>
          </w:tblCellMar>
        </w:tblPrEx>
        <w:trPr>
          <w:trHeight w:val="225" w:hRule="atLeast"/>
        </w:trPr>
        <w:tc>
          <w:tcPr>
            <w:tcW w:w="3140" w:type="dxa"/>
            <w:tcBorders>
              <w:top w:val="nil"/>
              <w:left w:val="nil"/>
              <w:bottom w:val="nil"/>
              <w:right w:val="nil"/>
            </w:tcBorders>
            <w:noWrap/>
            <w:vAlign w:val="center"/>
          </w:tcPr>
          <w:p>
            <w:pPr>
              <w:jc w:val="center"/>
              <w:rPr>
                <w:rFonts w:ascii="Arial Narrow" w:hAnsi="Arial Narrow" w:eastAsia="Arial Narrow" w:cs="Arial Narrow"/>
                <w:color w:val="000000"/>
                <w:sz w:val="24"/>
                <w:szCs w:val="24"/>
              </w:rPr>
            </w:pPr>
          </w:p>
        </w:tc>
        <w:tc>
          <w:tcPr>
            <w:tcW w:w="488" w:type="dxa"/>
            <w:tcBorders>
              <w:top w:val="nil"/>
              <w:left w:val="nil"/>
              <w:bottom w:val="nil"/>
              <w:right w:val="nil"/>
            </w:tcBorders>
            <w:noWrap/>
            <w:vAlign w:val="center"/>
          </w:tcPr>
          <w:p>
            <w:pPr>
              <w:jc w:val="center"/>
              <w:rPr>
                <w:rFonts w:ascii="Arial Narrow" w:hAnsi="Arial Narrow" w:eastAsia="Arial Narrow" w:cs="Arial Narrow"/>
                <w:color w:val="000000"/>
                <w:sz w:val="24"/>
                <w:szCs w:val="24"/>
              </w:rPr>
            </w:pPr>
          </w:p>
        </w:tc>
        <w:tc>
          <w:tcPr>
            <w:tcW w:w="1245" w:type="dxa"/>
            <w:tcBorders>
              <w:top w:val="nil"/>
              <w:left w:val="nil"/>
              <w:bottom w:val="nil"/>
              <w:right w:val="nil"/>
            </w:tcBorders>
            <w:noWrap/>
            <w:vAlign w:val="center"/>
          </w:tcPr>
          <w:p>
            <w:pPr>
              <w:jc w:val="center"/>
              <w:rPr>
                <w:rFonts w:ascii="Arial Narrow" w:hAnsi="Arial Narrow" w:eastAsia="Arial Narrow" w:cs="Arial Narrow"/>
                <w:color w:val="000000"/>
                <w:sz w:val="24"/>
                <w:szCs w:val="24"/>
              </w:rPr>
            </w:pPr>
          </w:p>
        </w:tc>
        <w:tc>
          <w:tcPr>
            <w:tcW w:w="1162" w:type="dxa"/>
            <w:tcBorders>
              <w:top w:val="nil"/>
              <w:left w:val="nil"/>
              <w:bottom w:val="nil"/>
              <w:right w:val="nil"/>
            </w:tcBorders>
            <w:noWrap/>
            <w:vAlign w:val="center"/>
          </w:tcPr>
          <w:p>
            <w:pPr>
              <w:jc w:val="center"/>
              <w:rPr>
                <w:rFonts w:ascii="Arial Narrow" w:hAnsi="Arial Narrow" w:eastAsia="Arial Narrow" w:cs="Arial Narrow"/>
                <w:color w:val="000000"/>
                <w:sz w:val="24"/>
                <w:szCs w:val="24"/>
              </w:rPr>
            </w:pPr>
          </w:p>
        </w:tc>
        <w:tc>
          <w:tcPr>
            <w:tcW w:w="1140" w:type="dxa"/>
            <w:tcBorders>
              <w:top w:val="nil"/>
              <w:left w:val="nil"/>
              <w:bottom w:val="nil"/>
              <w:right w:val="nil"/>
            </w:tcBorders>
            <w:noWrap/>
            <w:vAlign w:val="center"/>
          </w:tcPr>
          <w:p>
            <w:pPr>
              <w:jc w:val="center"/>
              <w:rPr>
                <w:rFonts w:ascii="Arial Narrow" w:hAnsi="Arial Narrow" w:eastAsia="Arial Narrow" w:cs="Arial Narrow"/>
                <w:color w:val="000000"/>
                <w:sz w:val="24"/>
                <w:szCs w:val="24"/>
              </w:rPr>
            </w:pPr>
          </w:p>
        </w:tc>
        <w:tc>
          <w:tcPr>
            <w:tcW w:w="1185" w:type="dxa"/>
            <w:tcBorders>
              <w:top w:val="nil"/>
              <w:left w:val="nil"/>
              <w:bottom w:val="nil"/>
              <w:right w:val="nil"/>
            </w:tcBorders>
            <w:noWrap/>
            <w:vAlign w:val="center"/>
          </w:tcPr>
          <w:p>
            <w:pPr>
              <w:jc w:val="center"/>
              <w:rPr>
                <w:rFonts w:ascii="Arial Narrow" w:hAnsi="Arial Narrow" w:eastAsia="Arial Narrow" w:cs="Arial Narrow"/>
                <w:color w:val="000000"/>
                <w:sz w:val="24"/>
                <w:szCs w:val="24"/>
              </w:rPr>
            </w:pPr>
          </w:p>
        </w:tc>
        <w:tc>
          <w:tcPr>
            <w:tcW w:w="788" w:type="dxa"/>
            <w:tcBorders>
              <w:top w:val="nil"/>
              <w:left w:val="nil"/>
              <w:bottom w:val="nil"/>
              <w:right w:val="nil"/>
            </w:tcBorders>
            <w:noWrap/>
            <w:vAlign w:val="center"/>
          </w:tcPr>
          <w:p>
            <w:pPr>
              <w:jc w:val="center"/>
              <w:rPr>
                <w:rFonts w:ascii="Arial Narrow" w:hAnsi="Arial Narrow" w:eastAsia="Arial Narrow" w:cs="Arial Narrow"/>
                <w:color w:val="000000"/>
                <w:sz w:val="24"/>
                <w:szCs w:val="24"/>
              </w:rPr>
            </w:pPr>
          </w:p>
        </w:tc>
        <w:tc>
          <w:tcPr>
            <w:tcW w:w="1260" w:type="dxa"/>
            <w:tcBorders>
              <w:top w:val="nil"/>
              <w:left w:val="nil"/>
              <w:bottom w:val="nil"/>
              <w:right w:val="nil"/>
            </w:tcBorders>
            <w:noWrap/>
            <w:vAlign w:val="center"/>
          </w:tcPr>
          <w:p>
            <w:pPr>
              <w:jc w:val="center"/>
              <w:rPr>
                <w:rFonts w:ascii="Arial Narrow" w:hAnsi="Arial Narrow" w:eastAsia="Arial Narrow" w:cs="Arial Narrow"/>
                <w:color w:val="000000"/>
                <w:sz w:val="24"/>
                <w:szCs w:val="24"/>
              </w:rPr>
            </w:pPr>
          </w:p>
        </w:tc>
        <w:tc>
          <w:tcPr>
            <w:tcW w:w="1147" w:type="dxa"/>
            <w:tcBorders>
              <w:top w:val="nil"/>
              <w:left w:val="nil"/>
              <w:bottom w:val="nil"/>
              <w:right w:val="nil"/>
            </w:tcBorders>
            <w:noWrap/>
            <w:vAlign w:val="center"/>
          </w:tcPr>
          <w:p>
            <w:pPr>
              <w:jc w:val="center"/>
              <w:rPr>
                <w:rFonts w:ascii="Arial Narrow" w:hAnsi="Arial Narrow" w:eastAsia="Arial Narrow" w:cs="Arial Narrow"/>
                <w:color w:val="000000"/>
                <w:sz w:val="24"/>
                <w:szCs w:val="24"/>
              </w:rPr>
            </w:pPr>
          </w:p>
        </w:tc>
        <w:tc>
          <w:tcPr>
            <w:tcW w:w="480" w:type="dxa"/>
            <w:tcBorders>
              <w:top w:val="nil"/>
              <w:left w:val="nil"/>
              <w:bottom w:val="nil"/>
              <w:right w:val="nil"/>
            </w:tcBorders>
            <w:noWrap/>
            <w:vAlign w:val="center"/>
          </w:tcPr>
          <w:p>
            <w:pPr>
              <w:jc w:val="center"/>
              <w:rPr>
                <w:rFonts w:ascii="Arial Narrow" w:hAnsi="Arial Narrow" w:eastAsia="Arial Narrow" w:cs="Arial Narrow"/>
                <w:color w:val="000000"/>
                <w:sz w:val="24"/>
                <w:szCs w:val="24"/>
              </w:rPr>
            </w:pPr>
          </w:p>
        </w:tc>
        <w:tc>
          <w:tcPr>
            <w:tcW w:w="597" w:type="dxa"/>
            <w:tcBorders>
              <w:top w:val="nil"/>
              <w:left w:val="nil"/>
              <w:bottom w:val="nil"/>
              <w:right w:val="nil"/>
            </w:tcBorders>
            <w:noWrap/>
            <w:vAlign w:val="center"/>
          </w:tcPr>
          <w:p>
            <w:pPr>
              <w:jc w:val="center"/>
              <w:rPr>
                <w:rFonts w:ascii="Arial Narrow" w:hAnsi="Arial Narrow" w:eastAsia="Arial Narrow" w:cs="Arial Narrow"/>
                <w:color w:val="000000"/>
                <w:sz w:val="24"/>
                <w:szCs w:val="24"/>
              </w:rPr>
            </w:pPr>
          </w:p>
        </w:tc>
      </w:tr>
      <w:tr>
        <w:tblPrEx>
          <w:tblCellMar>
            <w:top w:w="0" w:type="dxa"/>
            <w:left w:w="108" w:type="dxa"/>
            <w:bottom w:w="0" w:type="dxa"/>
            <w:right w:w="108" w:type="dxa"/>
          </w:tblCellMar>
        </w:tblPrEx>
        <w:trPr>
          <w:trHeight w:val="564" w:hRule="atLeast"/>
        </w:trPr>
        <w:tc>
          <w:tcPr>
            <w:tcW w:w="12632" w:type="dxa"/>
            <w:gridSpan w:val="11"/>
            <w:tcBorders>
              <w:top w:val="nil"/>
              <w:left w:val="nil"/>
              <w:bottom w:val="nil"/>
              <w:right w:val="nil"/>
            </w:tcBorders>
            <w:noWrap/>
            <w:vAlign w:val="center"/>
          </w:tcPr>
          <w:p>
            <w:pPr>
              <w:widowControl/>
              <w:jc w:val="center"/>
              <w:textAlignment w:val="center"/>
              <w:rPr>
                <w:rFonts w:ascii="黑体" w:hAnsi="宋体" w:eastAsia="黑体" w:cs="黑体"/>
                <w:b/>
                <w:bCs/>
                <w:color w:val="000000"/>
                <w:sz w:val="44"/>
                <w:szCs w:val="44"/>
              </w:rPr>
            </w:pPr>
            <w:r>
              <w:rPr>
                <w:rFonts w:hint="eastAsia" w:ascii="黑体" w:hAnsi="宋体" w:eastAsia="黑体" w:cs="黑体"/>
                <w:b/>
                <w:bCs/>
                <w:color w:val="000000"/>
                <w:kern w:val="0"/>
                <w:sz w:val="44"/>
                <w:szCs w:val="44"/>
                <w:lang w:bidi="ar"/>
              </w:rPr>
              <w:t>2021年非公开发行股票募集资金使用情况对照表</w:t>
            </w:r>
          </w:p>
        </w:tc>
      </w:tr>
      <w:tr>
        <w:tblPrEx>
          <w:tblCellMar>
            <w:top w:w="0" w:type="dxa"/>
            <w:left w:w="108" w:type="dxa"/>
            <w:bottom w:w="0" w:type="dxa"/>
            <w:right w:w="108" w:type="dxa"/>
          </w:tblCellMar>
        </w:tblPrEx>
        <w:trPr>
          <w:trHeight w:val="312" w:hRule="atLeast"/>
        </w:trPr>
        <w:tc>
          <w:tcPr>
            <w:tcW w:w="12632" w:type="dxa"/>
            <w:gridSpan w:val="11"/>
            <w:tcBorders>
              <w:top w:val="nil"/>
              <w:left w:val="nil"/>
              <w:bottom w:val="nil"/>
              <w:right w:val="nil"/>
            </w:tcBorders>
            <w:noWrap/>
            <w:vAlign w:val="center"/>
          </w:tcPr>
          <w:p>
            <w:pPr>
              <w:widowControl/>
              <w:jc w:val="center"/>
              <w:textAlignment w:val="center"/>
              <w:rPr>
                <w:rFonts w:ascii="Arial Narrow" w:hAnsi="Arial Narrow" w:eastAsia="Arial Narrow" w:cs="Arial Narrow"/>
                <w:b/>
                <w:bCs/>
                <w:color w:val="000000"/>
                <w:sz w:val="24"/>
                <w:szCs w:val="24"/>
              </w:rPr>
            </w:pPr>
            <w:r>
              <w:rPr>
                <w:rFonts w:ascii="Arial Narrow" w:hAnsi="Arial Narrow" w:eastAsia="Arial Narrow" w:cs="Arial Narrow"/>
                <w:b/>
                <w:bCs/>
                <w:color w:val="000000"/>
                <w:kern w:val="0"/>
                <w:sz w:val="24"/>
                <w:szCs w:val="24"/>
                <w:lang w:bidi="ar"/>
              </w:rPr>
              <w:t>20</w:t>
            </w:r>
            <w:r>
              <w:rPr>
                <w:rFonts w:hint="eastAsia" w:ascii="Arial Narrow" w:hAnsi="Arial Narrow" w:cs="Arial Narrow"/>
                <w:b/>
                <w:bCs/>
                <w:color w:val="000000"/>
                <w:kern w:val="0"/>
                <w:sz w:val="24"/>
                <w:szCs w:val="24"/>
                <w:lang w:bidi="ar"/>
              </w:rPr>
              <w:t>23</w:t>
            </w:r>
            <w:r>
              <w:rPr>
                <w:rFonts w:hint="eastAsia" w:ascii="宋体" w:hAnsi="宋体" w:cs="宋体"/>
                <w:b/>
                <w:bCs/>
                <w:color w:val="000000"/>
                <w:kern w:val="0"/>
                <w:sz w:val="24"/>
                <w:szCs w:val="24"/>
                <w:lang w:bidi="ar"/>
              </w:rPr>
              <w:t>年度</w:t>
            </w:r>
          </w:p>
        </w:tc>
      </w:tr>
      <w:tr>
        <w:tblPrEx>
          <w:tblCellMar>
            <w:top w:w="0" w:type="dxa"/>
            <w:left w:w="108" w:type="dxa"/>
            <w:bottom w:w="0" w:type="dxa"/>
            <w:right w:w="108" w:type="dxa"/>
          </w:tblCellMar>
        </w:tblPrEx>
        <w:trPr>
          <w:trHeight w:val="291" w:hRule="atLeast"/>
        </w:trPr>
        <w:tc>
          <w:tcPr>
            <w:tcW w:w="3140" w:type="dxa"/>
            <w:tcBorders>
              <w:top w:val="nil"/>
              <w:left w:val="nil"/>
              <w:bottom w:val="nil"/>
              <w:right w:val="nil"/>
            </w:tcBorders>
            <w:noWrap/>
            <w:vAlign w:val="center"/>
          </w:tcPr>
          <w:p>
            <w:pPr>
              <w:widowControl/>
              <w:jc w:val="left"/>
              <w:textAlignment w:val="center"/>
              <w:rPr>
                <w:rFonts w:ascii="宋体" w:hAnsi="宋体" w:cs="宋体"/>
                <w:b/>
                <w:bCs/>
                <w:color w:val="000000"/>
                <w:sz w:val="20"/>
              </w:rPr>
            </w:pPr>
            <w:r>
              <w:rPr>
                <w:rFonts w:hint="eastAsia" w:ascii="宋体" w:hAnsi="宋体" w:cs="宋体"/>
                <w:b/>
                <w:bCs/>
                <w:color w:val="000000"/>
                <w:kern w:val="0"/>
                <w:sz w:val="20"/>
                <w:lang w:bidi="ar"/>
              </w:rPr>
              <w:t>编制单位：吉林电力股份有限公司</w:t>
            </w:r>
          </w:p>
        </w:tc>
        <w:tc>
          <w:tcPr>
            <w:tcW w:w="488" w:type="dxa"/>
            <w:tcBorders>
              <w:top w:val="nil"/>
              <w:left w:val="nil"/>
              <w:bottom w:val="nil"/>
              <w:right w:val="nil"/>
            </w:tcBorders>
            <w:noWrap/>
            <w:vAlign w:val="center"/>
          </w:tcPr>
          <w:p>
            <w:pPr>
              <w:rPr>
                <w:rFonts w:ascii="Arial Narrow" w:hAnsi="Arial Narrow" w:eastAsia="Arial Narrow" w:cs="Arial Narrow"/>
                <w:color w:val="000000"/>
                <w:sz w:val="20"/>
              </w:rPr>
            </w:pPr>
          </w:p>
        </w:tc>
        <w:tc>
          <w:tcPr>
            <w:tcW w:w="1245" w:type="dxa"/>
            <w:tcBorders>
              <w:top w:val="nil"/>
              <w:left w:val="nil"/>
              <w:bottom w:val="nil"/>
              <w:right w:val="nil"/>
            </w:tcBorders>
            <w:noWrap/>
            <w:vAlign w:val="center"/>
          </w:tcPr>
          <w:p>
            <w:pPr>
              <w:rPr>
                <w:rFonts w:ascii="Arial Narrow" w:hAnsi="Arial Narrow" w:eastAsia="Arial Narrow" w:cs="Arial Narrow"/>
                <w:color w:val="000000"/>
                <w:sz w:val="20"/>
              </w:rPr>
            </w:pPr>
          </w:p>
        </w:tc>
        <w:tc>
          <w:tcPr>
            <w:tcW w:w="1162" w:type="dxa"/>
            <w:tcBorders>
              <w:top w:val="nil"/>
              <w:left w:val="nil"/>
              <w:bottom w:val="nil"/>
              <w:right w:val="nil"/>
            </w:tcBorders>
            <w:noWrap/>
            <w:vAlign w:val="center"/>
          </w:tcPr>
          <w:p>
            <w:pPr>
              <w:rPr>
                <w:rFonts w:ascii="Arial Narrow" w:hAnsi="Arial Narrow" w:eastAsia="Arial Narrow" w:cs="Arial Narrow"/>
                <w:color w:val="000000"/>
                <w:sz w:val="20"/>
              </w:rPr>
            </w:pPr>
          </w:p>
        </w:tc>
        <w:tc>
          <w:tcPr>
            <w:tcW w:w="1140" w:type="dxa"/>
            <w:tcBorders>
              <w:top w:val="nil"/>
              <w:left w:val="nil"/>
              <w:bottom w:val="nil"/>
              <w:right w:val="nil"/>
            </w:tcBorders>
            <w:noWrap/>
            <w:vAlign w:val="center"/>
          </w:tcPr>
          <w:p>
            <w:pPr>
              <w:rPr>
                <w:rFonts w:ascii="Arial Narrow" w:hAnsi="Arial Narrow" w:eastAsia="Arial Narrow" w:cs="Arial Narrow"/>
                <w:color w:val="000000"/>
                <w:sz w:val="20"/>
              </w:rPr>
            </w:pPr>
          </w:p>
        </w:tc>
        <w:tc>
          <w:tcPr>
            <w:tcW w:w="1185" w:type="dxa"/>
            <w:tcBorders>
              <w:top w:val="nil"/>
              <w:left w:val="nil"/>
              <w:bottom w:val="nil"/>
              <w:right w:val="nil"/>
            </w:tcBorders>
            <w:noWrap/>
            <w:vAlign w:val="center"/>
          </w:tcPr>
          <w:p>
            <w:pPr>
              <w:rPr>
                <w:rFonts w:ascii="Arial Narrow" w:hAnsi="Arial Narrow" w:eastAsia="Arial Narrow" w:cs="Arial Narrow"/>
                <w:color w:val="000000"/>
                <w:sz w:val="20"/>
              </w:rPr>
            </w:pPr>
          </w:p>
        </w:tc>
        <w:tc>
          <w:tcPr>
            <w:tcW w:w="788" w:type="dxa"/>
            <w:tcBorders>
              <w:top w:val="nil"/>
              <w:left w:val="nil"/>
              <w:bottom w:val="nil"/>
              <w:right w:val="nil"/>
            </w:tcBorders>
            <w:noWrap/>
            <w:vAlign w:val="center"/>
          </w:tcPr>
          <w:p>
            <w:pPr>
              <w:rPr>
                <w:rFonts w:ascii="Arial Narrow" w:hAnsi="Arial Narrow" w:eastAsia="Arial Narrow" w:cs="Arial Narrow"/>
                <w:color w:val="000000"/>
                <w:sz w:val="20"/>
              </w:rPr>
            </w:pPr>
          </w:p>
        </w:tc>
        <w:tc>
          <w:tcPr>
            <w:tcW w:w="1260" w:type="dxa"/>
            <w:tcBorders>
              <w:top w:val="nil"/>
              <w:left w:val="nil"/>
              <w:bottom w:val="nil"/>
              <w:right w:val="nil"/>
            </w:tcBorders>
            <w:noWrap/>
            <w:vAlign w:val="center"/>
          </w:tcPr>
          <w:p>
            <w:pPr>
              <w:rPr>
                <w:rFonts w:ascii="Arial Narrow" w:hAnsi="Arial Narrow" w:eastAsia="Arial Narrow" w:cs="Arial Narrow"/>
                <w:color w:val="000000"/>
                <w:sz w:val="20"/>
              </w:rPr>
            </w:pPr>
          </w:p>
        </w:tc>
        <w:tc>
          <w:tcPr>
            <w:tcW w:w="2224" w:type="dxa"/>
            <w:gridSpan w:val="3"/>
            <w:tcBorders>
              <w:top w:val="nil"/>
              <w:left w:val="nil"/>
              <w:bottom w:val="single" w:color="000000" w:sz="8" w:space="0"/>
              <w:right w:val="nil"/>
            </w:tcBorders>
            <w:noWrap/>
            <w:vAlign w:val="center"/>
          </w:tcPr>
          <w:p>
            <w:pPr>
              <w:widowControl/>
              <w:jc w:val="right"/>
              <w:textAlignment w:val="center"/>
              <w:rPr>
                <w:rFonts w:ascii="Arial Narrow" w:hAnsi="Arial Narrow" w:eastAsia="Arial Narrow" w:cs="Arial Narrow"/>
                <w:b/>
                <w:bCs/>
                <w:color w:val="000000"/>
                <w:sz w:val="20"/>
              </w:rPr>
            </w:pPr>
            <w:r>
              <w:rPr>
                <w:rFonts w:hint="eastAsia" w:ascii="宋体" w:hAnsi="宋体" w:cs="宋体"/>
                <w:b/>
                <w:bCs/>
                <w:color w:val="000000"/>
                <w:kern w:val="0"/>
                <w:sz w:val="20"/>
                <w:lang w:bidi="ar"/>
              </w:rPr>
              <w:t>金额单位：人民币万元</w:t>
            </w:r>
          </w:p>
        </w:tc>
      </w:tr>
      <w:tr>
        <w:tblPrEx>
          <w:tblCellMar>
            <w:top w:w="0" w:type="dxa"/>
            <w:left w:w="108" w:type="dxa"/>
            <w:bottom w:w="0" w:type="dxa"/>
            <w:right w:w="108" w:type="dxa"/>
          </w:tblCellMar>
        </w:tblPrEx>
        <w:trPr>
          <w:trHeight w:val="312" w:hRule="atLeast"/>
        </w:trPr>
        <w:tc>
          <w:tcPr>
            <w:tcW w:w="4873" w:type="dxa"/>
            <w:gridSpan w:val="3"/>
            <w:tcBorders>
              <w:top w:val="single" w:color="000000" w:sz="8"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募集资金总额</w:t>
            </w:r>
          </w:p>
        </w:tc>
        <w:tc>
          <w:tcPr>
            <w:tcW w:w="2302" w:type="dxa"/>
            <w:gridSpan w:val="2"/>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0"/>
                <w:lang w:bidi="ar"/>
              </w:rPr>
              <w:t xml:space="preserve"> 224,075.18 </w:t>
            </w:r>
          </w:p>
        </w:tc>
        <w:tc>
          <w:tcPr>
            <w:tcW w:w="4380" w:type="dxa"/>
            <w:gridSpan w:val="4"/>
            <w:tcBorders>
              <w:top w:val="single" w:color="000000" w:sz="8" w:space="0"/>
              <w:left w:val="single" w:color="000000" w:sz="4"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本年度投入募集资金总额</w:t>
            </w:r>
          </w:p>
        </w:tc>
        <w:tc>
          <w:tcPr>
            <w:tcW w:w="1077" w:type="dxa"/>
            <w:gridSpan w:val="2"/>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0"/>
                <w:lang w:bidi="ar"/>
              </w:rPr>
              <w:t xml:space="preserve"> </w:t>
            </w:r>
            <w:r>
              <w:rPr>
                <w:rFonts w:hint="eastAsia" w:ascii="Arial Narrow" w:hAnsi="Arial Narrow" w:eastAsia="Arial Narrow" w:cs="Arial Narrow"/>
                <w:color w:val="000000"/>
                <w:kern w:val="0"/>
                <w:sz w:val="20"/>
                <w:lang w:bidi="ar"/>
              </w:rPr>
              <w:t>0.00</w:t>
            </w:r>
            <w:r>
              <w:rPr>
                <w:rFonts w:ascii="Arial Narrow" w:hAnsi="Arial Narrow" w:eastAsia="Arial Narrow" w:cs="Arial Narrow"/>
                <w:color w:val="000000"/>
                <w:kern w:val="0"/>
                <w:sz w:val="20"/>
                <w:lang w:bidi="ar"/>
              </w:rPr>
              <w:t xml:space="preserve"> </w:t>
            </w:r>
          </w:p>
        </w:tc>
      </w:tr>
      <w:tr>
        <w:tblPrEx>
          <w:tblCellMar>
            <w:top w:w="0" w:type="dxa"/>
            <w:left w:w="108" w:type="dxa"/>
            <w:bottom w:w="0" w:type="dxa"/>
            <w:right w:w="108" w:type="dxa"/>
          </w:tblCellMar>
        </w:tblPrEx>
        <w:trPr>
          <w:trHeight w:val="312" w:hRule="atLeast"/>
        </w:trPr>
        <w:tc>
          <w:tcPr>
            <w:tcW w:w="487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报告期内变更用途的募集资金总额</w:t>
            </w:r>
          </w:p>
        </w:tc>
        <w:tc>
          <w:tcPr>
            <w:tcW w:w="2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r>
              <w:rPr>
                <w:rFonts w:hint="eastAsia" w:ascii="Arial Narrow" w:hAnsi="Arial Narrow" w:cs="Arial Narrow"/>
                <w:color w:val="000000"/>
                <w:kern w:val="0"/>
                <w:sz w:val="22"/>
                <w:szCs w:val="22"/>
                <w:lang w:bidi="ar"/>
              </w:rPr>
              <w:t>0.00</w:t>
            </w:r>
          </w:p>
        </w:tc>
        <w:tc>
          <w:tcPr>
            <w:tcW w:w="4380"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已累计投入募集资金总额</w:t>
            </w:r>
          </w:p>
        </w:tc>
        <w:tc>
          <w:tcPr>
            <w:tcW w:w="107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Arial Narrow" w:hAnsi="Arial Narrow" w:cs="Arial Narrow"/>
                <w:color w:val="000000"/>
                <w:kern w:val="0"/>
                <w:sz w:val="20"/>
                <w:lang w:bidi="ar"/>
              </w:rPr>
              <w:t>219</w:t>
            </w:r>
            <w:r>
              <w:rPr>
                <w:rFonts w:hint="eastAsia" w:ascii="Arial Narrow" w:hAnsi="Arial Narrow" w:eastAsia="Arial Narrow" w:cs="Arial Narrow"/>
                <w:color w:val="000000"/>
                <w:kern w:val="0"/>
                <w:sz w:val="22"/>
                <w:szCs w:val="22"/>
                <w:lang w:bidi="ar"/>
              </w:rPr>
              <w:t>,</w:t>
            </w:r>
            <w:r>
              <w:rPr>
                <w:rFonts w:hint="eastAsia" w:ascii="Arial Narrow" w:hAnsi="Arial Narrow" w:cs="Arial Narrow"/>
                <w:color w:val="000000"/>
                <w:kern w:val="0"/>
                <w:sz w:val="20"/>
                <w:lang w:bidi="ar"/>
              </w:rPr>
              <w:t>731.22</w:t>
            </w:r>
            <w:r>
              <w:rPr>
                <w:rFonts w:ascii="Arial Narrow" w:hAnsi="Arial Narrow" w:eastAsia="Arial Narrow" w:cs="Arial Narrow"/>
                <w:color w:val="000000"/>
                <w:kern w:val="0"/>
                <w:sz w:val="20"/>
                <w:lang w:bidi="ar"/>
              </w:rPr>
              <w:t xml:space="preserve"> </w:t>
            </w:r>
          </w:p>
        </w:tc>
      </w:tr>
      <w:tr>
        <w:tblPrEx>
          <w:tblCellMar>
            <w:top w:w="0" w:type="dxa"/>
            <w:left w:w="108" w:type="dxa"/>
            <w:bottom w:w="0" w:type="dxa"/>
            <w:right w:w="108" w:type="dxa"/>
          </w:tblCellMar>
        </w:tblPrEx>
        <w:trPr>
          <w:trHeight w:val="312" w:hRule="atLeast"/>
        </w:trPr>
        <w:tc>
          <w:tcPr>
            <w:tcW w:w="4873" w:type="dxa"/>
            <w:gridSpan w:val="3"/>
            <w:tcBorders>
              <w:top w:val="single" w:color="000000" w:sz="4" w:space="0"/>
              <w:left w:val="single" w:color="000000" w:sz="8" w:space="0"/>
              <w:bottom w:val="single" w:color="000000" w:sz="4" w:space="0"/>
              <w:right w:val="nil"/>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累计变更用途的募集资金总额</w:t>
            </w:r>
          </w:p>
        </w:tc>
        <w:tc>
          <w:tcPr>
            <w:tcW w:w="2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r>
              <w:rPr>
                <w:rFonts w:hint="eastAsia" w:ascii="Arial Narrow" w:hAnsi="Arial Narrow" w:cs="Arial Narrow"/>
                <w:color w:val="000000"/>
                <w:kern w:val="0"/>
                <w:sz w:val="22"/>
                <w:szCs w:val="22"/>
                <w:lang w:bidi="ar"/>
              </w:rPr>
              <w:t>0.00</w:t>
            </w:r>
          </w:p>
        </w:tc>
        <w:tc>
          <w:tcPr>
            <w:tcW w:w="4380"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0"/>
              </w:rPr>
            </w:pPr>
          </w:p>
        </w:tc>
        <w:tc>
          <w:tcPr>
            <w:tcW w:w="107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312" w:hRule="atLeast"/>
        </w:trPr>
        <w:tc>
          <w:tcPr>
            <w:tcW w:w="487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累计变更用途的募集资金总额比例</w:t>
            </w:r>
          </w:p>
        </w:tc>
        <w:tc>
          <w:tcPr>
            <w:tcW w:w="2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r>
              <w:rPr>
                <w:rFonts w:hint="eastAsia" w:ascii="Arial Narrow" w:hAnsi="Arial Narrow" w:cs="Arial Narrow"/>
                <w:color w:val="000000"/>
                <w:kern w:val="0"/>
                <w:sz w:val="22"/>
                <w:szCs w:val="22"/>
                <w:lang w:bidi="ar"/>
              </w:rPr>
              <w:t>0.00</w:t>
            </w:r>
          </w:p>
        </w:tc>
        <w:tc>
          <w:tcPr>
            <w:tcW w:w="4380"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0"/>
              </w:rPr>
            </w:pPr>
          </w:p>
        </w:tc>
        <w:tc>
          <w:tcPr>
            <w:tcW w:w="107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792" w:hRule="atLeast"/>
        </w:trPr>
        <w:tc>
          <w:tcPr>
            <w:tcW w:w="3140"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承诺投资项目和超募资金投向</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是否已变更项目（含部分变更）</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募集资金承诺投资总额</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调整后投资总额</w:t>
            </w:r>
            <w:r>
              <w:rPr>
                <w:rFonts w:ascii="Arial Narrow" w:hAnsi="Arial Narrow" w:eastAsia="Arial Narrow" w:cs="Arial Narrow"/>
                <w:color w:val="000000"/>
                <w:kern w:val="0"/>
                <w:sz w:val="20"/>
                <w:lang w:bidi="ar"/>
              </w:rPr>
              <w:t>(1)</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本年度投入金额</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截至期末累计投入金额</w:t>
            </w:r>
            <w:r>
              <w:rPr>
                <w:rFonts w:ascii="Arial Narrow" w:hAnsi="Arial Narrow" w:eastAsia="Arial Narrow" w:cs="Arial Narrow"/>
                <w:color w:val="000000"/>
                <w:kern w:val="0"/>
                <w:sz w:val="20"/>
                <w:lang w:bidi="ar"/>
              </w:rPr>
              <w:t>(2)</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截至期末投资进度（</w:t>
            </w:r>
            <w:r>
              <w:rPr>
                <w:rFonts w:ascii="Arial Narrow" w:hAnsi="Arial Narrow" w:eastAsia="Arial Narrow" w:cs="Arial Narrow"/>
                <w:color w:val="000000"/>
                <w:kern w:val="0"/>
                <w:sz w:val="20"/>
                <w:lang w:bidi="ar"/>
              </w:rPr>
              <w:t>%</w:t>
            </w:r>
            <w:r>
              <w:rPr>
                <w:rStyle w:val="30"/>
                <w:rFonts w:hint="default"/>
                <w:lang w:bidi="ar"/>
              </w:rPr>
              <w:t>）</w:t>
            </w:r>
            <w:r>
              <w:rPr>
                <w:rFonts w:ascii="Arial Narrow" w:hAnsi="Arial Narrow" w:eastAsia="Arial Narrow" w:cs="Arial Narrow"/>
                <w:color w:val="000000"/>
                <w:kern w:val="0"/>
                <w:sz w:val="20"/>
                <w:lang w:bidi="ar"/>
              </w:rPr>
              <w:t>(3)</w:t>
            </w:r>
            <w:r>
              <w:rPr>
                <w:rStyle w:val="30"/>
                <w:rFonts w:hint="default"/>
                <w:lang w:bidi="ar"/>
              </w:rPr>
              <w:t>＝</w:t>
            </w:r>
            <w:r>
              <w:rPr>
                <w:rFonts w:ascii="Arial Narrow" w:hAnsi="Arial Narrow" w:eastAsia="Arial Narrow" w:cs="Arial Narrow"/>
                <w:color w:val="000000"/>
                <w:kern w:val="0"/>
                <w:sz w:val="20"/>
                <w:lang w:bidi="ar"/>
              </w:rPr>
              <w:t>(2)/(1)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项目达到预定可使用状态日期</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本年度实现的效益</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是否达到预计效益</w:t>
            </w:r>
          </w:p>
        </w:tc>
        <w:tc>
          <w:tcPr>
            <w:tcW w:w="597"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项目可行性是否发生重大变化</w:t>
            </w:r>
          </w:p>
        </w:tc>
      </w:tr>
      <w:tr>
        <w:tblPrEx>
          <w:tblCellMar>
            <w:top w:w="0" w:type="dxa"/>
            <w:left w:w="108" w:type="dxa"/>
            <w:bottom w:w="0" w:type="dxa"/>
            <w:right w:w="108" w:type="dxa"/>
          </w:tblCellMar>
        </w:tblPrEx>
        <w:trPr>
          <w:trHeight w:val="312" w:hRule="atLeast"/>
        </w:trPr>
        <w:tc>
          <w:tcPr>
            <w:tcW w:w="3140"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承诺投资项目</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597"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516" w:hRule="atLeast"/>
        </w:trPr>
        <w:tc>
          <w:tcPr>
            <w:tcW w:w="3140"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0"/>
                <w:lang w:bidi="ar"/>
              </w:rPr>
              <w:t>安徽宿松九成风电项目（100MW）</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 xml:space="preserve"> 否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0"/>
                <w:szCs w:val="22"/>
                <w:lang w:bidi="ar"/>
              </w:rPr>
            </w:pPr>
            <w:r>
              <w:rPr>
                <w:rFonts w:ascii="Arial Narrow" w:hAnsi="Arial Narrow" w:eastAsia="Arial Narrow" w:cs="Arial Narrow"/>
                <w:color w:val="000000"/>
                <w:kern w:val="0"/>
                <w:sz w:val="22"/>
                <w:szCs w:val="22"/>
                <w:lang w:bidi="ar"/>
              </w:rPr>
              <w:t xml:space="preserve"> 44,657.00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 31,026.44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Arial Narrow" w:hAnsi="Arial Narrow" w:cs="Arial Narrow"/>
                <w:color w:val="000000"/>
                <w:kern w:val="0"/>
                <w:sz w:val="22"/>
                <w:szCs w:val="22"/>
                <w:lang w:bidi="ar"/>
              </w:rPr>
              <w:t>0.00</w:t>
            </w:r>
            <w:r>
              <w:rPr>
                <w:rFonts w:ascii="Arial Narrow" w:hAnsi="Arial Narrow" w:eastAsia="Arial Narrow" w:cs="Arial Narrow"/>
                <w:color w:val="000000"/>
                <w:kern w:val="0"/>
                <w:sz w:val="22"/>
                <w:szCs w:val="22"/>
                <w:lang w:bidi="ar"/>
              </w:rPr>
              <w:t xml:space="preserve"> </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 31,026.44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100.00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2021年4月5日</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2"/>
                <w:szCs w:val="22"/>
                <w:lang w:bidi="ar"/>
              </w:rPr>
            </w:pPr>
            <w:r>
              <w:rPr>
                <w:rFonts w:ascii="Arial Narrow" w:hAnsi="Arial Narrow" w:eastAsia="Arial Narrow" w:cs="Arial Narrow"/>
                <w:color w:val="000000"/>
                <w:kern w:val="0"/>
                <w:sz w:val="22"/>
                <w:szCs w:val="22"/>
                <w:lang w:bidi="ar"/>
              </w:rPr>
              <w:t xml:space="preserve"> 4,084.93 </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2"/>
                <w:szCs w:val="22"/>
                <w:lang w:bidi="ar"/>
              </w:rPr>
              <w:t xml:space="preserve">是 </w:t>
            </w:r>
          </w:p>
        </w:tc>
        <w:tc>
          <w:tcPr>
            <w:tcW w:w="597"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2"/>
                <w:szCs w:val="22"/>
                <w:lang w:bidi="ar"/>
              </w:rPr>
              <w:t xml:space="preserve"> 否 </w:t>
            </w:r>
          </w:p>
        </w:tc>
      </w:tr>
      <w:tr>
        <w:tblPrEx>
          <w:tblCellMar>
            <w:top w:w="0" w:type="dxa"/>
            <w:left w:w="108" w:type="dxa"/>
            <w:bottom w:w="0" w:type="dxa"/>
            <w:right w:w="108" w:type="dxa"/>
          </w:tblCellMar>
        </w:tblPrEx>
        <w:trPr>
          <w:trHeight w:val="620" w:hRule="atLeast"/>
        </w:trPr>
        <w:tc>
          <w:tcPr>
            <w:tcW w:w="3140"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0"/>
                <w:lang w:bidi="ar"/>
              </w:rPr>
              <w:t>延安宝塔蟠龙风电项目（100MW）</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 xml:space="preserve"> 否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0"/>
                <w:szCs w:val="22"/>
                <w:lang w:bidi="ar"/>
              </w:rPr>
            </w:pPr>
            <w:r>
              <w:rPr>
                <w:rFonts w:ascii="Arial Narrow" w:hAnsi="Arial Narrow" w:eastAsia="Arial Narrow" w:cs="Arial Narrow"/>
                <w:color w:val="000000"/>
                <w:kern w:val="0"/>
                <w:sz w:val="22"/>
                <w:szCs w:val="22"/>
                <w:lang w:bidi="ar"/>
              </w:rPr>
              <w:t xml:space="preserve"> 37,666.00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 29,123.28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Arial Narrow" w:hAnsi="Arial Narrow" w:cs="Arial Narrow"/>
                <w:color w:val="000000"/>
                <w:kern w:val="0"/>
                <w:sz w:val="22"/>
                <w:szCs w:val="22"/>
                <w:lang w:bidi="ar"/>
              </w:rPr>
              <w:t>0.00</w:t>
            </w:r>
            <w:r>
              <w:rPr>
                <w:rFonts w:ascii="Arial Narrow" w:hAnsi="Arial Narrow" w:eastAsia="Arial Narrow" w:cs="Arial Narrow"/>
                <w:color w:val="000000"/>
                <w:kern w:val="0"/>
                <w:sz w:val="22"/>
                <w:szCs w:val="22"/>
                <w:lang w:bidi="ar"/>
              </w:rPr>
              <w:t xml:space="preserve"> </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 29,123.28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100.00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2"/>
                <w:szCs w:val="22"/>
                <w:lang w:bidi="ar"/>
              </w:rPr>
              <w:t>一期</w:t>
            </w:r>
            <w:r>
              <w:rPr>
                <w:rFonts w:ascii="Arial Narrow" w:hAnsi="Arial Narrow" w:eastAsia="Arial Narrow" w:cs="Arial Narrow"/>
                <w:color w:val="000000"/>
                <w:kern w:val="0"/>
                <w:sz w:val="22"/>
                <w:szCs w:val="22"/>
                <w:lang w:bidi="ar"/>
              </w:rPr>
              <w:t>2021</w:t>
            </w:r>
            <w:r>
              <w:rPr>
                <w:rFonts w:hint="eastAsia" w:ascii="宋体" w:hAnsi="宋体" w:cs="宋体"/>
                <w:color w:val="000000"/>
                <w:kern w:val="0"/>
                <w:sz w:val="22"/>
                <w:szCs w:val="22"/>
                <w:lang w:bidi="ar"/>
              </w:rPr>
              <w:t>年</w:t>
            </w:r>
            <w:r>
              <w:rPr>
                <w:rFonts w:ascii="Arial Narrow" w:hAnsi="Arial Narrow" w:eastAsia="Arial Narrow" w:cs="Arial Narrow"/>
                <w:color w:val="000000"/>
                <w:kern w:val="0"/>
                <w:sz w:val="22"/>
                <w:szCs w:val="22"/>
                <w:lang w:bidi="ar"/>
              </w:rPr>
              <w:t>1</w:t>
            </w:r>
            <w:r>
              <w:rPr>
                <w:rFonts w:hint="eastAsia" w:ascii="宋体" w:hAnsi="宋体" w:cs="宋体"/>
                <w:color w:val="000000"/>
                <w:kern w:val="0"/>
                <w:sz w:val="22"/>
                <w:szCs w:val="22"/>
                <w:lang w:bidi="ar"/>
              </w:rPr>
              <w:t>月</w:t>
            </w:r>
            <w:r>
              <w:rPr>
                <w:rFonts w:ascii="Arial Narrow" w:hAnsi="Arial Narrow" w:eastAsia="Arial Narrow" w:cs="Arial Narrow"/>
                <w:color w:val="000000"/>
                <w:kern w:val="0"/>
                <w:sz w:val="22"/>
                <w:szCs w:val="22"/>
                <w:lang w:bidi="ar"/>
              </w:rPr>
              <w:t>21</w:t>
            </w:r>
            <w:r>
              <w:rPr>
                <w:rFonts w:hint="eastAsia" w:ascii="宋体" w:hAnsi="宋体" w:cs="宋体"/>
                <w:color w:val="000000"/>
                <w:kern w:val="0"/>
                <w:sz w:val="22"/>
                <w:szCs w:val="22"/>
                <w:lang w:bidi="ar"/>
              </w:rPr>
              <w:t>日、二期</w:t>
            </w:r>
            <w:r>
              <w:rPr>
                <w:rFonts w:ascii="Arial Narrow" w:hAnsi="Arial Narrow" w:eastAsia="Arial Narrow" w:cs="Arial Narrow"/>
                <w:color w:val="000000"/>
                <w:kern w:val="0"/>
                <w:sz w:val="22"/>
                <w:szCs w:val="22"/>
                <w:lang w:bidi="ar"/>
              </w:rPr>
              <w:t>2021</w:t>
            </w:r>
            <w:r>
              <w:rPr>
                <w:rFonts w:hint="eastAsia" w:ascii="宋体" w:hAnsi="宋体" w:cs="宋体"/>
                <w:color w:val="000000"/>
                <w:kern w:val="0"/>
                <w:sz w:val="22"/>
                <w:szCs w:val="22"/>
                <w:lang w:bidi="ar"/>
              </w:rPr>
              <w:t>年</w:t>
            </w:r>
            <w:r>
              <w:rPr>
                <w:rFonts w:ascii="Arial Narrow" w:hAnsi="Arial Narrow" w:eastAsia="Arial Narrow" w:cs="Arial Narrow"/>
                <w:color w:val="000000"/>
                <w:kern w:val="0"/>
                <w:sz w:val="22"/>
                <w:szCs w:val="22"/>
                <w:lang w:bidi="ar"/>
              </w:rPr>
              <w:t>4</w:t>
            </w:r>
            <w:r>
              <w:rPr>
                <w:rFonts w:hint="eastAsia" w:ascii="宋体" w:hAnsi="宋体" w:cs="宋体"/>
                <w:color w:val="000000"/>
                <w:kern w:val="0"/>
                <w:sz w:val="22"/>
                <w:szCs w:val="22"/>
                <w:lang w:bidi="ar"/>
              </w:rPr>
              <w:t>月</w:t>
            </w:r>
            <w:r>
              <w:rPr>
                <w:rFonts w:ascii="Arial Narrow" w:hAnsi="Arial Narrow" w:eastAsia="Arial Narrow" w:cs="Arial Narrow"/>
                <w:color w:val="000000"/>
                <w:kern w:val="0"/>
                <w:sz w:val="22"/>
                <w:szCs w:val="22"/>
                <w:lang w:bidi="ar"/>
              </w:rPr>
              <w:t>1</w:t>
            </w:r>
            <w:r>
              <w:rPr>
                <w:rFonts w:hint="eastAsia" w:ascii="宋体" w:hAnsi="宋体" w:cs="宋体"/>
                <w:color w:val="000000"/>
                <w:kern w:val="0"/>
                <w:sz w:val="22"/>
                <w:szCs w:val="22"/>
                <w:lang w:bidi="ar"/>
              </w:rPr>
              <w:t>日</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2"/>
                <w:szCs w:val="22"/>
                <w:lang w:bidi="ar"/>
              </w:rPr>
            </w:pPr>
            <w:r>
              <w:rPr>
                <w:rFonts w:ascii="Arial Narrow" w:hAnsi="Arial Narrow" w:eastAsia="Arial Narrow" w:cs="Arial Narrow"/>
                <w:color w:val="000000"/>
                <w:kern w:val="0"/>
                <w:sz w:val="22"/>
                <w:szCs w:val="22"/>
                <w:lang w:bidi="ar"/>
              </w:rPr>
              <w:t xml:space="preserve"> 1,426.71 </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2"/>
                <w:szCs w:val="22"/>
                <w:lang w:bidi="ar"/>
              </w:rPr>
              <w:t xml:space="preserve">否 </w:t>
            </w:r>
          </w:p>
        </w:tc>
        <w:tc>
          <w:tcPr>
            <w:tcW w:w="597"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2"/>
                <w:szCs w:val="22"/>
                <w:lang w:bidi="ar"/>
              </w:rPr>
              <w:t xml:space="preserve"> 否 </w:t>
            </w:r>
          </w:p>
        </w:tc>
      </w:tr>
      <w:tr>
        <w:tblPrEx>
          <w:tblCellMar>
            <w:top w:w="0" w:type="dxa"/>
            <w:left w:w="108" w:type="dxa"/>
            <w:bottom w:w="0" w:type="dxa"/>
            <w:right w:w="108" w:type="dxa"/>
          </w:tblCellMar>
        </w:tblPrEx>
        <w:trPr>
          <w:trHeight w:val="516" w:hRule="atLeast"/>
        </w:trPr>
        <w:tc>
          <w:tcPr>
            <w:tcW w:w="3140"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0"/>
                <w:lang w:bidi="ar"/>
              </w:rPr>
              <w:t>青海乌兰风电项目（50MW）</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 xml:space="preserve"> 否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0"/>
                <w:szCs w:val="22"/>
                <w:lang w:bidi="ar"/>
              </w:rPr>
            </w:pPr>
            <w:r>
              <w:rPr>
                <w:rFonts w:ascii="Arial Narrow" w:hAnsi="Arial Narrow" w:eastAsia="Arial Narrow" w:cs="Arial Narrow"/>
                <w:color w:val="000000"/>
                <w:kern w:val="0"/>
                <w:sz w:val="22"/>
                <w:szCs w:val="22"/>
                <w:lang w:bidi="ar"/>
              </w:rPr>
              <w:t xml:space="preserve"> 20,435.00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 8,374.83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Arial Narrow" w:hAnsi="Arial Narrow" w:cs="Arial Narrow"/>
                <w:color w:val="000000"/>
                <w:kern w:val="0"/>
                <w:sz w:val="22"/>
                <w:szCs w:val="22"/>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 8,374.83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100.00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2020年11月26日</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2"/>
                <w:szCs w:val="22"/>
                <w:lang w:bidi="ar"/>
              </w:rPr>
            </w:pPr>
            <w:r>
              <w:rPr>
                <w:rFonts w:ascii="Arial Narrow" w:hAnsi="Arial Narrow" w:eastAsia="Arial Narrow" w:cs="Arial Narrow"/>
                <w:color w:val="000000"/>
                <w:kern w:val="0"/>
                <w:sz w:val="22"/>
                <w:szCs w:val="22"/>
                <w:lang w:bidi="ar"/>
              </w:rPr>
              <w:t xml:space="preserve"> 1,667.01 </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2"/>
                <w:szCs w:val="22"/>
                <w:lang w:bidi="ar"/>
              </w:rPr>
              <w:t xml:space="preserve">是 </w:t>
            </w:r>
          </w:p>
        </w:tc>
        <w:tc>
          <w:tcPr>
            <w:tcW w:w="597"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2"/>
                <w:szCs w:val="22"/>
                <w:lang w:bidi="ar"/>
              </w:rPr>
              <w:t xml:space="preserve"> 否 </w:t>
            </w:r>
          </w:p>
        </w:tc>
      </w:tr>
      <w:tr>
        <w:tblPrEx>
          <w:tblCellMar>
            <w:top w:w="0" w:type="dxa"/>
            <w:left w:w="108" w:type="dxa"/>
            <w:bottom w:w="0" w:type="dxa"/>
            <w:right w:w="108" w:type="dxa"/>
          </w:tblCellMar>
        </w:tblPrEx>
        <w:trPr>
          <w:trHeight w:val="516" w:hRule="atLeast"/>
        </w:trPr>
        <w:tc>
          <w:tcPr>
            <w:tcW w:w="3140"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0"/>
                <w:lang w:bidi="ar"/>
              </w:rPr>
              <w:t>江西兴国风电场项目（278MW）</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 xml:space="preserve"> 否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0"/>
                <w:szCs w:val="22"/>
                <w:lang w:bidi="ar"/>
              </w:rPr>
            </w:pPr>
            <w:r>
              <w:rPr>
                <w:rFonts w:ascii="Arial Narrow" w:hAnsi="Arial Narrow" w:eastAsia="Arial Narrow" w:cs="Arial Narrow"/>
                <w:color w:val="000000"/>
                <w:kern w:val="0"/>
                <w:sz w:val="22"/>
                <w:szCs w:val="22"/>
                <w:lang w:bidi="ar"/>
              </w:rPr>
              <w:t xml:space="preserve"> 7,042.00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 7,042.00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Arial Narrow" w:hAnsi="Arial Narrow" w:cs="Arial Narrow"/>
                <w:color w:val="000000"/>
                <w:kern w:val="0"/>
                <w:sz w:val="22"/>
                <w:szCs w:val="22"/>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 7,042.00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100.00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2021年1月10日</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2"/>
                <w:szCs w:val="22"/>
                <w:lang w:bidi="ar"/>
              </w:rPr>
            </w:pPr>
            <w:r>
              <w:rPr>
                <w:rFonts w:ascii="Arial Narrow" w:hAnsi="Arial Narrow" w:eastAsia="Arial Narrow" w:cs="Arial Narrow"/>
                <w:color w:val="000000"/>
                <w:kern w:val="0"/>
                <w:sz w:val="22"/>
                <w:szCs w:val="22"/>
                <w:lang w:bidi="ar"/>
              </w:rPr>
              <w:t xml:space="preserve"> 14,361.09 </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2"/>
                <w:szCs w:val="22"/>
                <w:lang w:bidi="ar"/>
              </w:rPr>
              <w:t xml:space="preserve">是 </w:t>
            </w:r>
          </w:p>
        </w:tc>
        <w:tc>
          <w:tcPr>
            <w:tcW w:w="597"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2"/>
                <w:szCs w:val="22"/>
                <w:lang w:bidi="ar"/>
              </w:rPr>
              <w:t xml:space="preserve"> 否 </w:t>
            </w:r>
          </w:p>
        </w:tc>
      </w:tr>
      <w:tr>
        <w:tblPrEx>
          <w:tblCellMar>
            <w:top w:w="0" w:type="dxa"/>
            <w:left w:w="108" w:type="dxa"/>
            <w:bottom w:w="0" w:type="dxa"/>
            <w:right w:w="108" w:type="dxa"/>
          </w:tblCellMar>
        </w:tblPrEx>
        <w:trPr>
          <w:trHeight w:val="516" w:hRule="atLeast"/>
        </w:trPr>
        <w:tc>
          <w:tcPr>
            <w:tcW w:w="3140"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0"/>
                <w:lang w:bidi="ar"/>
              </w:rPr>
              <w:t>广西崇左响水平价光伏项目（150MW）</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 xml:space="preserve"> 否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0"/>
                <w:szCs w:val="22"/>
                <w:lang w:bidi="ar"/>
              </w:rPr>
            </w:pPr>
            <w:r>
              <w:rPr>
                <w:rFonts w:ascii="Arial Narrow" w:hAnsi="Arial Narrow" w:eastAsia="Arial Narrow" w:cs="Arial Narrow"/>
                <w:color w:val="000000"/>
                <w:kern w:val="0"/>
                <w:sz w:val="22"/>
                <w:szCs w:val="22"/>
                <w:lang w:bidi="ar"/>
              </w:rPr>
              <w:t xml:space="preserve"> 59,400.00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 35,502.11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 </w:t>
            </w:r>
            <w:r>
              <w:rPr>
                <w:rFonts w:hint="eastAsia" w:ascii="Arial Narrow" w:hAnsi="Arial Narrow" w:cs="Arial Narrow"/>
                <w:color w:val="000000"/>
                <w:kern w:val="0"/>
                <w:sz w:val="22"/>
                <w:szCs w:val="22"/>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 35,502.11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100.00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2021年1月10日</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2"/>
                <w:szCs w:val="22"/>
                <w:lang w:bidi="ar"/>
              </w:rPr>
            </w:pPr>
            <w:r>
              <w:rPr>
                <w:rFonts w:ascii="Arial Narrow" w:hAnsi="Arial Narrow" w:eastAsia="Arial Narrow" w:cs="Arial Narrow"/>
                <w:color w:val="000000"/>
                <w:kern w:val="0"/>
                <w:sz w:val="22"/>
                <w:szCs w:val="22"/>
                <w:lang w:bidi="ar"/>
              </w:rPr>
              <w:t xml:space="preserve"> 1,408.58 </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2"/>
                <w:szCs w:val="22"/>
                <w:lang w:bidi="ar"/>
              </w:rPr>
              <w:t xml:space="preserve">是 </w:t>
            </w:r>
          </w:p>
        </w:tc>
        <w:tc>
          <w:tcPr>
            <w:tcW w:w="597"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2"/>
                <w:szCs w:val="22"/>
                <w:lang w:bidi="ar"/>
              </w:rPr>
              <w:t xml:space="preserve"> 否 </w:t>
            </w:r>
          </w:p>
        </w:tc>
      </w:tr>
      <w:tr>
        <w:tblPrEx>
          <w:tblCellMar>
            <w:top w:w="0" w:type="dxa"/>
            <w:left w:w="108" w:type="dxa"/>
            <w:bottom w:w="0" w:type="dxa"/>
            <w:right w:w="108" w:type="dxa"/>
          </w:tblCellMar>
        </w:tblPrEx>
        <w:trPr>
          <w:trHeight w:val="516" w:hRule="atLeast"/>
        </w:trPr>
        <w:tc>
          <w:tcPr>
            <w:tcW w:w="3140"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0"/>
                <w:lang w:bidi="ar"/>
              </w:rPr>
              <w:t>山东寿光恒远平价光伏项目（200MW）</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 xml:space="preserve"> 否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0"/>
                <w:szCs w:val="22"/>
                <w:lang w:bidi="ar"/>
              </w:rPr>
            </w:pPr>
            <w:r>
              <w:rPr>
                <w:rFonts w:ascii="Arial Narrow" w:hAnsi="Arial Narrow" w:eastAsia="Arial Narrow" w:cs="Arial Narrow"/>
                <w:color w:val="000000"/>
                <w:kern w:val="0"/>
                <w:sz w:val="22"/>
                <w:szCs w:val="22"/>
                <w:lang w:bidi="ar"/>
              </w:rPr>
              <w:t xml:space="preserve"> 45,800.00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 45,800.00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Arial Narrow" w:hAnsi="Arial Narrow" w:cs="Arial Narrow"/>
                <w:color w:val="000000"/>
                <w:kern w:val="0"/>
                <w:sz w:val="22"/>
                <w:szCs w:val="22"/>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 45,800.00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100.00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2021年5月18日</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2"/>
                <w:szCs w:val="22"/>
                <w:lang w:bidi="ar"/>
              </w:rPr>
            </w:pPr>
            <w:r>
              <w:rPr>
                <w:rFonts w:ascii="Arial Narrow" w:hAnsi="Arial Narrow" w:eastAsia="Arial Narrow" w:cs="Arial Narrow"/>
                <w:color w:val="000000"/>
                <w:kern w:val="0"/>
                <w:sz w:val="22"/>
                <w:szCs w:val="22"/>
                <w:lang w:bidi="ar"/>
              </w:rPr>
              <w:t xml:space="preserve"> 1,600.78 </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cs="Arial Narrow"/>
                <w:color w:val="000000"/>
                <w:sz w:val="20"/>
              </w:rPr>
            </w:pPr>
            <w:r>
              <w:rPr>
                <w:rFonts w:hint="eastAsia" w:ascii="宋体" w:hAnsi="宋体" w:cs="宋体"/>
                <w:color w:val="000000"/>
                <w:kern w:val="0"/>
                <w:sz w:val="22"/>
                <w:szCs w:val="22"/>
                <w:lang w:bidi="ar"/>
              </w:rPr>
              <w:t>是</w:t>
            </w:r>
          </w:p>
        </w:tc>
        <w:tc>
          <w:tcPr>
            <w:tcW w:w="597"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2"/>
                <w:szCs w:val="22"/>
                <w:lang w:bidi="ar"/>
              </w:rPr>
              <w:t xml:space="preserve"> 否 </w:t>
            </w:r>
          </w:p>
        </w:tc>
      </w:tr>
      <w:tr>
        <w:tblPrEx>
          <w:tblCellMar>
            <w:top w:w="0" w:type="dxa"/>
            <w:left w:w="108" w:type="dxa"/>
            <w:bottom w:w="0" w:type="dxa"/>
            <w:right w:w="108" w:type="dxa"/>
          </w:tblCellMar>
        </w:tblPrEx>
        <w:trPr>
          <w:trHeight w:val="373" w:hRule="atLeast"/>
        </w:trPr>
        <w:tc>
          <w:tcPr>
            <w:tcW w:w="3140"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0"/>
                <w:lang w:bidi="ar"/>
              </w:rPr>
              <w:t>补充流动资金</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Style w:val="30"/>
                <w:rFonts w:hint="default"/>
                <w:lang w:bidi="ar"/>
              </w:rPr>
              <w:t xml:space="preserve"> 否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0"/>
                <w:szCs w:val="22"/>
                <w:lang w:bidi="ar"/>
              </w:rPr>
            </w:pPr>
            <w:r>
              <w:rPr>
                <w:rFonts w:ascii="Arial Narrow" w:hAnsi="Arial Narrow" w:eastAsia="Arial Narrow" w:cs="Arial Narrow"/>
                <w:color w:val="000000"/>
                <w:kern w:val="0"/>
                <w:sz w:val="22"/>
                <w:szCs w:val="22"/>
                <w:lang w:bidi="ar"/>
              </w:rPr>
              <w:t xml:space="preserve"> 85,000.00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 62,849.21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Arial Narrow" w:hAnsi="Arial Narrow" w:cs="Arial Narrow"/>
                <w:color w:val="000000"/>
                <w:kern w:val="0"/>
                <w:sz w:val="22"/>
                <w:szCs w:val="22"/>
                <w:lang w:bidi="ar"/>
              </w:rPr>
              <w:t>0.00</w:t>
            </w:r>
            <w:r>
              <w:rPr>
                <w:rFonts w:ascii="Arial Narrow" w:hAnsi="Arial Narrow" w:eastAsia="Arial Narrow" w:cs="Arial Narrow"/>
                <w:color w:val="000000"/>
                <w:kern w:val="0"/>
                <w:sz w:val="22"/>
                <w:szCs w:val="22"/>
                <w:lang w:bidi="ar"/>
              </w:rPr>
              <w:t xml:space="preserve"> </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Arial Narrow" w:hAnsi="Arial Narrow" w:eastAsia="Arial Narrow" w:cs="Arial Narrow"/>
                <w:color w:val="000000"/>
                <w:kern w:val="0"/>
                <w:sz w:val="22"/>
                <w:szCs w:val="22"/>
                <w:lang w:bidi="ar"/>
              </w:rPr>
              <w:t>62,862.56</w:t>
            </w:r>
            <w:r>
              <w:rPr>
                <w:rFonts w:ascii="Arial Narrow" w:hAnsi="Arial Narrow" w:eastAsia="Arial Narrow" w:cs="Arial Narrow"/>
                <w:color w:val="000000"/>
                <w:kern w:val="0"/>
                <w:sz w:val="22"/>
                <w:szCs w:val="22"/>
                <w:lang w:bidi="ar"/>
              </w:rPr>
              <w:t xml:space="preserve">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Arial Narrow" w:hAnsi="Arial Narrow" w:eastAsia="Arial Narrow" w:cs="Arial Narrow"/>
                <w:color w:val="000000"/>
                <w:kern w:val="0"/>
                <w:sz w:val="22"/>
                <w:szCs w:val="22"/>
                <w:lang w:bidi="ar"/>
              </w:rPr>
              <w:t>100.02</w:t>
            </w:r>
            <w:r>
              <w:rPr>
                <w:rFonts w:ascii="Arial Narrow" w:hAnsi="Arial Narrow" w:eastAsia="Arial Narrow" w:cs="Arial Narrow"/>
                <w:color w:val="000000"/>
                <w:kern w:val="0"/>
                <w:sz w:val="22"/>
                <w:szCs w:val="22"/>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cs="Arial Narrow"/>
                <w:color w:val="000000"/>
                <w:sz w:val="20"/>
              </w:rPr>
            </w:pPr>
            <w:r>
              <w:rPr>
                <w:rFonts w:hint="eastAsia" w:ascii="Arial Narrow" w:hAnsi="Arial Narrow" w:cs="Arial Narrow"/>
                <w:color w:val="000000"/>
                <w:sz w:val="20"/>
              </w:rPr>
              <w:t>-</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cs="Arial Narrow"/>
                <w:color w:val="000000"/>
                <w:sz w:val="20"/>
              </w:rPr>
            </w:pPr>
            <w:r>
              <w:rPr>
                <w:rFonts w:hint="eastAsia" w:ascii="Arial Narrow" w:hAnsi="Arial Narrow" w:cs="Arial Narrow"/>
                <w:color w:val="000000"/>
                <w:sz w:val="20"/>
              </w:rPr>
              <w:t>-</w:t>
            </w: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cs="Arial Narrow"/>
                <w:color w:val="000000"/>
                <w:sz w:val="20"/>
              </w:rPr>
            </w:pPr>
            <w:r>
              <w:rPr>
                <w:rFonts w:hint="eastAsia" w:ascii="Arial Narrow" w:hAnsi="Arial Narrow" w:cs="Arial Narrow"/>
                <w:color w:val="000000"/>
                <w:sz w:val="20"/>
              </w:rPr>
              <w:t>-</w:t>
            </w:r>
          </w:p>
        </w:tc>
        <w:tc>
          <w:tcPr>
            <w:tcW w:w="597"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cs="Arial Narrow"/>
                <w:color w:val="000000"/>
                <w:sz w:val="20"/>
              </w:rPr>
            </w:pPr>
            <w:r>
              <w:rPr>
                <w:rFonts w:hint="eastAsia" w:ascii="Arial Narrow" w:hAnsi="Arial Narrow" w:cs="Arial Narrow"/>
                <w:color w:val="000000"/>
                <w:sz w:val="20"/>
              </w:rPr>
              <w:t>-</w:t>
            </w:r>
          </w:p>
        </w:tc>
      </w:tr>
      <w:tr>
        <w:tblPrEx>
          <w:tblCellMar>
            <w:top w:w="0" w:type="dxa"/>
            <w:left w:w="108" w:type="dxa"/>
            <w:bottom w:w="0" w:type="dxa"/>
            <w:right w:w="108" w:type="dxa"/>
          </w:tblCellMar>
        </w:tblPrEx>
        <w:trPr>
          <w:trHeight w:val="312" w:hRule="atLeast"/>
        </w:trPr>
        <w:tc>
          <w:tcPr>
            <w:tcW w:w="3140"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b/>
                <w:bCs/>
                <w:color w:val="000000"/>
                <w:sz w:val="20"/>
              </w:rPr>
            </w:pPr>
            <w:r>
              <w:rPr>
                <w:rStyle w:val="14"/>
                <w:rFonts w:hint="default"/>
                <w:sz w:val="24"/>
                <w:szCs w:val="24"/>
                <w:lang w:bidi="ar"/>
              </w:rPr>
              <w:t>承诺投资项目小计</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kern w:val="0"/>
                <w:sz w:val="20"/>
                <w:szCs w:val="22"/>
                <w:lang w:bidi="ar"/>
              </w:rPr>
            </w:pPr>
            <w:r>
              <w:rPr>
                <w:rFonts w:ascii="Arial Narrow" w:hAnsi="Arial Narrow" w:eastAsia="Arial Narrow" w:cs="Arial Narrow"/>
                <w:color w:val="000000"/>
                <w:kern w:val="0"/>
                <w:sz w:val="22"/>
                <w:szCs w:val="22"/>
                <w:lang w:bidi="ar"/>
              </w:rPr>
              <w:t xml:space="preserve"> 300,000.00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2"/>
                <w:szCs w:val="22"/>
                <w:lang w:bidi="ar"/>
              </w:rPr>
              <w:t xml:space="preserve">219,717.87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Arial Narrow" w:hAnsi="Arial Narrow" w:cs="Arial Narrow"/>
                <w:color w:val="000000"/>
                <w:kern w:val="0"/>
                <w:sz w:val="22"/>
                <w:szCs w:val="22"/>
                <w:lang w:bidi="ar"/>
              </w:rPr>
              <w:t>0.00</w:t>
            </w:r>
            <w:r>
              <w:rPr>
                <w:rFonts w:ascii="Arial Narrow" w:hAnsi="Arial Narrow" w:eastAsia="Arial Narrow" w:cs="Arial Narrow"/>
                <w:color w:val="000000"/>
                <w:kern w:val="0"/>
                <w:sz w:val="22"/>
                <w:szCs w:val="22"/>
                <w:lang w:bidi="ar"/>
              </w:rPr>
              <w:t xml:space="preserve"> </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Arial Narrow" w:hAnsi="Arial Narrow" w:eastAsia="Arial Narrow" w:cs="Arial Narrow"/>
                <w:color w:val="000000"/>
                <w:kern w:val="0"/>
                <w:sz w:val="22"/>
                <w:szCs w:val="22"/>
                <w:lang w:bidi="ar"/>
              </w:rPr>
              <w:t>219,731.22</w:t>
            </w:r>
            <w:r>
              <w:rPr>
                <w:rFonts w:ascii="Arial Narrow" w:hAnsi="Arial Narrow" w:eastAsia="Arial Narrow" w:cs="Arial Narrow"/>
                <w:color w:val="000000"/>
                <w:kern w:val="0"/>
                <w:sz w:val="22"/>
                <w:szCs w:val="22"/>
                <w:lang w:bidi="ar"/>
              </w:rPr>
              <w:t xml:space="preserve">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cs="Arial Narrow"/>
                <w:color w:val="000000"/>
                <w:sz w:val="20"/>
              </w:rPr>
            </w:pPr>
            <w:r>
              <w:rPr>
                <w:rFonts w:ascii="Arial Narrow" w:hAnsi="Arial Narrow" w:eastAsia="Arial Narrow" w:cs="Arial Narrow"/>
                <w:color w:val="000000"/>
                <w:kern w:val="0"/>
                <w:sz w:val="22"/>
                <w:szCs w:val="22"/>
                <w:lang w:bidi="ar"/>
              </w:rPr>
              <w:t xml:space="preserve"> </w:t>
            </w:r>
            <w:r>
              <w:rPr>
                <w:rFonts w:hint="eastAsia" w:ascii="Arial Narrow" w:hAnsi="Arial Narrow" w:cs="Arial Narrow"/>
                <w:color w:val="000000"/>
                <w:kern w:val="0"/>
                <w:sz w:val="22"/>
                <w:szCs w:val="22"/>
                <w:lang w:bidi="ar"/>
              </w:rPr>
              <w:t>-</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cs="Arial Narrow"/>
                <w:color w:val="000000"/>
                <w:sz w:val="20"/>
              </w:rPr>
            </w:pPr>
            <w:r>
              <w:rPr>
                <w:rFonts w:hint="eastAsia" w:ascii="Arial Narrow" w:hAnsi="Arial Narrow" w:cs="Arial Narrow"/>
                <w:color w:val="000000"/>
                <w:sz w:val="20"/>
              </w:rPr>
              <w:t>-</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Arial Narrow" w:hAnsi="Arial Narrow" w:eastAsia="Arial Narrow" w:cs="Arial Narrow"/>
                <w:color w:val="000000"/>
                <w:kern w:val="0"/>
                <w:sz w:val="22"/>
                <w:szCs w:val="22"/>
                <w:lang w:bidi="ar"/>
              </w:rPr>
              <w:t>24,549.10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Arial Narrow" w:hAnsi="Arial Narrow" w:cs="Arial Narrow"/>
                <w:color w:val="000000"/>
                <w:kern w:val="0"/>
                <w:sz w:val="22"/>
                <w:szCs w:val="22"/>
                <w:lang w:bidi="ar"/>
              </w:rPr>
              <w:t>-</w:t>
            </w:r>
            <w:r>
              <w:rPr>
                <w:rFonts w:ascii="Arial Narrow" w:hAnsi="Arial Narrow" w:eastAsia="Arial Narrow" w:cs="Arial Narrow"/>
                <w:color w:val="000000"/>
                <w:kern w:val="0"/>
                <w:sz w:val="22"/>
                <w:szCs w:val="22"/>
                <w:lang w:bidi="ar"/>
              </w:rPr>
              <w:t xml:space="preserve">    </w:t>
            </w:r>
          </w:p>
        </w:tc>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Arial Narrow" w:hAnsi="Arial Narrow" w:cs="Arial Narrow"/>
                <w:color w:val="000000"/>
                <w:kern w:val="0"/>
                <w:sz w:val="22"/>
                <w:szCs w:val="22"/>
                <w:lang w:bidi="ar"/>
              </w:rPr>
              <w:t>-</w:t>
            </w:r>
            <w:r>
              <w:rPr>
                <w:rFonts w:ascii="Arial Narrow" w:hAnsi="Arial Narrow" w:eastAsia="Arial Narrow" w:cs="Arial Narrow"/>
                <w:color w:val="000000"/>
                <w:kern w:val="0"/>
                <w:sz w:val="22"/>
                <w:szCs w:val="22"/>
                <w:lang w:bidi="ar"/>
              </w:rPr>
              <w:t xml:space="preserve">    </w:t>
            </w:r>
          </w:p>
        </w:tc>
      </w:tr>
      <w:tr>
        <w:tblPrEx>
          <w:tblCellMar>
            <w:top w:w="0" w:type="dxa"/>
            <w:left w:w="108" w:type="dxa"/>
            <w:bottom w:w="0" w:type="dxa"/>
            <w:right w:w="108" w:type="dxa"/>
          </w:tblCellMar>
        </w:tblPrEx>
        <w:trPr>
          <w:trHeight w:val="312" w:hRule="atLeast"/>
        </w:trPr>
        <w:tc>
          <w:tcPr>
            <w:tcW w:w="3140"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超募资金投向</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kern w:val="0"/>
                <w:sz w:val="20"/>
                <w:szCs w:val="22"/>
                <w:lang w:bidi="ar"/>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597"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312" w:hRule="atLeast"/>
        </w:trPr>
        <w:tc>
          <w:tcPr>
            <w:tcW w:w="3140"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归还银行贷款（如有）</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597"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312" w:hRule="atLeast"/>
        </w:trPr>
        <w:tc>
          <w:tcPr>
            <w:tcW w:w="3140"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补充流动资金（如有）</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597"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312" w:hRule="atLeast"/>
        </w:trPr>
        <w:tc>
          <w:tcPr>
            <w:tcW w:w="3140"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b/>
                <w:bCs/>
                <w:color w:val="000000"/>
                <w:sz w:val="20"/>
              </w:rPr>
            </w:pPr>
            <w:r>
              <w:rPr>
                <w:rStyle w:val="14"/>
                <w:rFonts w:hint="default"/>
                <w:sz w:val="24"/>
                <w:szCs w:val="24"/>
                <w:lang w:bidi="ar"/>
              </w:rPr>
              <w:t>超募资金投向小计</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597"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312" w:hRule="atLeast"/>
        </w:trPr>
        <w:tc>
          <w:tcPr>
            <w:tcW w:w="3140"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b/>
                <w:bCs/>
                <w:color w:val="000000"/>
                <w:sz w:val="20"/>
              </w:rPr>
            </w:pPr>
            <w:r>
              <w:rPr>
                <w:rFonts w:hint="eastAsia" w:ascii="宋体" w:hAnsi="宋体" w:cs="宋体"/>
                <w:b/>
                <w:bCs/>
                <w:color w:val="000000"/>
                <w:kern w:val="0"/>
                <w:sz w:val="22"/>
                <w:szCs w:val="22"/>
                <w:lang w:bidi="ar"/>
              </w:rPr>
              <w:t>合计</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b/>
                <w:bCs/>
                <w:color w:val="000000"/>
                <w:sz w:val="20"/>
              </w:rPr>
            </w:pPr>
            <w:r>
              <w:rPr>
                <w:rFonts w:ascii="Arial Narrow" w:hAnsi="Arial Narrow" w:eastAsia="Arial Narrow" w:cs="Arial Narrow"/>
                <w:color w:val="000000"/>
                <w:kern w:val="0"/>
                <w:sz w:val="22"/>
                <w:szCs w:val="22"/>
                <w:lang w:bidi="ar"/>
              </w:rPr>
              <w:t xml:space="preserve"> 300,000.00 </w:t>
            </w: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b/>
                <w:bCs/>
                <w:color w:val="000000"/>
                <w:sz w:val="20"/>
              </w:rPr>
            </w:pPr>
            <w:r>
              <w:rPr>
                <w:rFonts w:ascii="Arial Narrow" w:hAnsi="Arial Narrow" w:eastAsia="Arial Narrow" w:cs="Arial Narrow"/>
                <w:color w:val="000000"/>
                <w:kern w:val="0"/>
                <w:sz w:val="22"/>
                <w:szCs w:val="22"/>
                <w:lang w:bidi="ar"/>
              </w:rPr>
              <w:t xml:space="preserve">219,717.87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b/>
                <w:bCs/>
                <w:color w:val="000000"/>
                <w:sz w:val="20"/>
              </w:rPr>
            </w:pPr>
            <w:r>
              <w:rPr>
                <w:rFonts w:hint="eastAsia" w:ascii="Arial Narrow" w:hAnsi="Arial Narrow" w:cs="Arial Narrow"/>
                <w:color w:val="000000"/>
                <w:kern w:val="0"/>
                <w:sz w:val="22"/>
                <w:szCs w:val="22"/>
                <w:lang w:bidi="ar"/>
              </w:rPr>
              <w:t>0.00</w:t>
            </w:r>
            <w:r>
              <w:rPr>
                <w:rFonts w:ascii="Arial Narrow" w:hAnsi="Arial Narrow" w:eastAsia="Arial Narrow" w:cs="Arial Narrow"/>
                <w:color w:val="000000"/>
                <w:kern w:val="0"/>
                <w:sz w:val="22"/>
                <w:szCs w:val="22"/>
                <w:lang w:bidi="ar"/>
              </w:rPr>
              <w:t xml:space="preserve"> </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b/>
                <w:bCs/>
                <w:color w:val="000000"/>
                <w:sz w:val="20"/>
              </w:rPr>
            </w:pPr>
            <w:r>
              <w:rPr>
                <w:rFonts w:hint="eastAsia" w:ascii="Arial Narrow" w:hAnsi="Arial Narrow" w:eastAsia="Arial Narrow" w:cs="Arial Narrow"/>
                <w:color w:val="000000"/>
                <w:kern w:val="0"/>
                <w:sz w:val="22"/>
                <w:szCs w:val="22"/>
                <w:lang w:bidi="ar"/>
              </w:rPr>
              <w:t>219,731.22</w:t>
            </w:r>
            <w:r>
              <w:rPr>
                <w:rFonts w:ascii="Arial Narrow" w:hAnsi="Arial Narrow" w:eastAsia="Arial Narrow" w:cs="Arial Narrow"/>
                <w:color w:val="000000"/>
                <w:kern w:val="0"/>
                <w:sz w:val="22"/>
                <w:szCs w:val="22"/>
                <w:lang w:bidi="ar"/>
              </w:rPr>
              <w:t xml:space="preserve"> </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cs="Arial Narrow"/>
                <w:b/>
                <w:bCs/>
                <w:color w:val="000000"/>
                <w:sz w:val="20"/>
              </w:rPr>
            </w:pPr>
            <w:r>
              <w:rPr>
                <w:rFonts w:ascii="Arial Narrow" w:hAnsi="Arial Narrow" w:eastAsia="Arial Narrow" w:cs="Arial Narrow"/>
                <w:color w:val="000000"/>
                <w:kern w:val="0"/>
                <w:sz w:val="22"/>
                <w:szCs w:val="22"/>
                <w:lang w:bidi="ar"/>
              </w:rPr>
              <w:t xml:space="preserve"> </w:t>
            </w:r>
            <w:r>
              <w:rPr>
                <w:rFonts w:hint="eastAsia" w:ascii="Arial Narrow" w:hAnsi="Arial Narrow" w:cs="Arial Narrow"/>
                <w:color w:val="000000"/>
                <w:kern w:val="0"/>
                <w:sz w:val="22"/>
                <w:szCs w:val="22"/>
                <w:lang w:bidi="ar"/>
              </w:rPr>
              <w:t>-</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cs="Arial Narrow"/>
                <w:b/>
                <w:bCs/>
                <w:color w:val="000000"/>
                <w:sz w:val="20"/>
              </w:rPr>
            </w:pPr>
            <w:r>
              <w:rPr>
                <w:rFonts w:hint="eastAsia" w:ascii="Arial Narrow" w:hAnsi="Arial Narrow" w:cs="Arial Narrow"/>
                <w:b/>
                <w:bCs/>
                <w:color w:val="000000"/>
                <w:sz w:val="20"/>
              </w:rPr>
              <w:t>-</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b/>
                <w:bCs/>
                <w:color w:val="000000"/>
                <w:sz w:val="20"/>
              </w:rPr>
            </w:pPr>
            <w:r>
              <w:rPr>
                <w:rFonts w:ascii="Arial Narrow" w:hAnsi="Arial Narrow" w:eastAsia="Arial Narrow" w:cs="Arial Narrow"/>
                <w:color w:val="000000"/>
                <w:kern w:val="0"/>
                <w:sz w:val="22"/>
                <w:szCs w:val="22"/>
                <w:lang w:bidi="ar"/>
              </w:rPr>
              <w:t xml:space="preserve"> </w:t>
            </w:r>
            <w:r>
              <w:rPr>
                <w:rFonts w:hint="eastAsia" w:ascii="Arial Narrow" w:hAnsi="Arial Narrow" w:eastAsia="Arial Narrow" w:cs="Arial Narrow"/>
                <w:color w:val="000000"/>
                <w:kern w:val="0"/>
                <w:sz w:val="22"/>
                <w:szCs w:val="22"/>
                <w:lang w:bidi="ar"/>
              </w:rPr>
              <w:t xml:space="preserve">24,549.10 </w:t>
            </w:r>
            <w:r>
              <w:rPr>
                <w:rFonts w:ascii="Arial Narrow" w:hAnsi="Arial Narrow" w:eastAsia="Arial Narrow" w:cs="Arial Narrow"/>
                <w:color w:val="000000"/>
                <w:kern w:val="0"/>
                <w:sz w:val="22"/>
                <w:szCs w:val="22"/>
                <w:lang w:bidi="ar"/>
              </w:rPr>
              <w:t xml:space="preserve"> </w:t>
            </w: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cs="Arial Narrow"/>
                <w:color w:val="000000"/>
                <w:sz w:val="20"/>
              </w:rPr>
            </w:pPr>
            <w:r>
              <w:rPr>
                <w:rFonts w:hint="eastAsia" w:ascii="Arial Narrow" w:hAnsi="Arial Narrow" w:cs="Arial Narrow"/>
                <w:color w:val="000000"/>
                <w:sz w:val="20"/>
              </w:rPr>
              <w:t>-</w:t>
            </w:r>
          </w:p>
        </w:tc>
        <w:tc>
          <w:tcPr>
            <w:tcW w:w="597"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cs="Arial Narrow"/>
                <w:color w:val="000000"/>
                <w:sz w:val="20"/>
              </w:rPr>
            </w:pPr>
            <w:r>
              <w:rPr>
                <w:rFonts w:hint="eastAsia" w:ascii="Arial Narrow" w:hAnsi="Arial Narrow" w:cs="Arial Narrow"/>
                <w:color w:val="000000"/>
                <w:sz w:val="20"/>
              </w:rPr>
              <w:t>-</w:t>
            </w:r>
          </w:p>
        </w:tc>
      </w:tr>
      <w:tr>
        <w:tblPrEx>
          <w:tblCellMar>
            <w:top w:w="0" w:type="dxa"/>
            <w:left w:w="108" w:type="dxa"/>
            <w:bottom w:w="0" w:type="dxa"/>
            <w:right w:w="108" w:type="dxa"/>
          </w:tblCellMar>
        </w:tblPrEx>
        <w:trPr>
          <w:trHeight w:val="680" w:hRule="atLeast"/>
        </w:trPr>
        <w:tc>
          <w:tcPr>
            <w:tcW w:w="6035"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未达到计划进度或预计收益的情况和原因</w:t>
            </w:r>
          </w:p>
        </w:tc>
        <w:tc>
          <w:tcPr>
            <w:tcW w:w="6597" w:type="dxa"/>
            <w:gridSpan w:val="7"/>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Arial Narrow" w:hAnsi="Arial Narrow" w:eastAsia="Arial Narrow" w:cs="Arial Narrow"/>
                <w:color w:val="000000"/>
                <w:sz w:val="20"/>
              </w:rPr>
            </w:pPr>
            <w:r>
              <w:rPr>
                <w:rFonts w:hint="eastAsia" w:ascii="Arial Narrow" w:hAnsi="Arial Narrow" w:eastAsia="Arial Narrow" w:cs="Arial Narrow"/>
                <w:color w:val="000000"/>
                <w:sz w:val="22"/>
                <w:szCs w:val="22"/>
              </w:rPr>
              <w:t xml:space="preserve">本报告期上述募投项目，实现收益24,549.10万元，延安宝塔蟠龙风电项目（100MW）未达到预计收益的原因为，受外送安全约束，常规电源调峰不足、新能源增速过快影响以及陕西区域限电对发电影响较大。 </w:t>
            </w:r>
          </w:p>
        </w:tc>
      </w:tr>
      <w:tr>
        <w:tblPrEx>
          <w:tblCellMar>
            <w:top w:w="0" w:type="dxa"/>
            <w:left w:w="108" w:type="dxa"/>
            <w:bottom w:w="0" w:type="dxa"/>
            <w:right w:w="108" w:type="dxa"/>
          </w:tblCellMar>
        </w:tblPrEx>
        <w:trPr>
          <w:trHeight w:val="312" w:hRule="atLeast"/>
        </w:trPr>
        <w:tc>
          <w:tcPr>
            <w:tcW w:w="6035"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项目可行性发生重大变化的情况说明</w:t>
            </w:r>
          </w:p>
        </w:tc>
        <w:tc>
          <w:tcPr>
            <w:tcW w:w="6597"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不适用</w:t>
            </w:r>
          </w:p>
        </w:tc>
      </w:tr>
      <w:tr>
        <w:tblPrEx>
          <w:tblCellMar>
            <w:top w:w="0" w:type="dxa"/>
            <w:left w:w="108" w:type="dxa"/>
            <w:bottom w:w="0" w:type="dxa"/>
            <w:right w:w="108" w:type="dxa"/>
          </w:tblCellMar>
        </w:tblPrEx>
        <w:trPr>
          <w:trHeight w:val="312" w:hRule="atLeast"/>
        </w:trPr>
        <w:tc>
          <w:tcPr>
            <w:tcW w:w="6035"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超募资金的金额、用途及使用进展情况</w:t>
            </w:r>
          </w:p>
        </w:tc>
        <w:tc>
          <w:tcPr>
            <w:tcW w:w="6597"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不适用</w:t>
            </w:r>
          </w:p>
        </w:tc>
      </w:tr>
      <w:tr>
        <w:tblPrEx>
          <w:tblCellMar>
            <w:top w:w="0" w:type="dxa"/>
            <w:left w:w="108" w:type="dxa"/>
            <w:bottom w:w="0" w:type="dxa"/>
            <w:right w:w="108" w:type="dxa"/>
          </w:tblCellMar>
        </w:tblPrEx>
        <w:trPr>
          <w:trHeight w:val="312" w:hRule="atLeast"/>
        </w:trPr>
        <w:tc>
          <w:tcPr>
            <w:tcW w:w="6035"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募集资金投资项目实施地点变更情况</w:t>
            </w:r>
          </w:p>
        </w:tc>
        <w:tc>
          <w:tcPr>
            <w:tcW w:w="6597"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不适用</w:t>
            </w:r>
          </w:p>
        </w:tc>
      </w:tr>
      <w:tr>
        <w:tblPrEx>
          <w:tblCellMar>
            <w:top w:w="0" w:type="dxa"/>
            <w:left w:w="108" w:type="dxa"/>
            <w:bottom w:w="0" w:type="dxa"/>
            <w:right w:w="108" w:type="dxa"/>
          </w:tblCellMar>
        </w:tblPrEx>
        <w:trPr>
          <w:trHeight w:val="312" w:hRule="atLeast"/>
        </w:trPr>
        <w:tc>
          <w:tcPr>
            <w:tcW w:w="6035"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募集资金投资项目实施方式调整情况</w:t>
            </w:r>
          </w:p>
        </w:tc>
        <w:tc>
          <w:tcPr>
            <w:tcW w:w="6597" w:type="dxa"/>
            <w:gridSpan w:val="7"/>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不适用</w:t>
            </w:r>
          </w:p>
        </w:tc>
      </w:tr>
      <w:tr>
        <w:tblPrEx>
          <w:tblCellMar>
            <w:top w:w="0" w:type="dxa"/>
            <w:left w:w="108" w:type="dxa"/>
            <w:bottom w:w="0" w:type="dxa"/>
            <w:right w:w="108" w:type="dxa"/>
          </w:tblCellMar>
        </w:tblPrEx>
        <w:trPr>
          <w:trHeight w:val="900" w:hRule="atLeast"/>
        </w:trPr>
        <w:tc>
          <w:tcPr>
            <w:tcW w:w="6035"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募集资金投资项目先期投入及置换情况</w:t>
            </w:r>
          </w:p>
        </w:tc>
        <w:tc>
          <w:tcPr>
            <w:tcW w:w="6597" w:type="dxa"/>
            <w:gridSpan w:val="7"/>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公司对上述1-6项目，前期预先自筹资金投入额243,857.16万元。公司于2021年3月19日召开第八届董事会第十七次</w:t>
            </w:r>
            <w:r>
              <w:rPr>
                <w:rFonts w:hint="eastAsia" w:ascii="Arial Narrow" w:hAnsi="Arial Narrow" w:cs="Arial Narrow"/>
                <w:color w:val="000000"/>
                <w:sz w:val="22"/>
                <w:szCs w:val="22"/>
                <w:lang w:eastAsia="zh-CN"/>
              </w:rPr>
              <w:t>会议</w:t>
            </w:r>
            <w:r>
              <w:rPr>
                <w:rFonts w:hint="eastAsia" w:ascii="Arial Narrow" w:hAnsi="Arial Narrow" w:eastAsia="Arial Narrow" w:cs="Arial Narrow"/>
                <w:color w:val="000000"/>
                <w:sz w:val="22"/>
                <w:szCs w:val="22"/>
              </w:rPr>
              <w:t>审议通过了《关于使用募集资金置换预先</w:t>
            </w:r>
            <w:r>
              <w:rPr>
                <w:rFonts w:hint="eastAsia" w:ascii="Arial Narrow" w:hAnsi="Arial Narrow" w:cs="Arial Narrow"/>
                <w:color w:val="000000"/>
                <w:sz w:val="22"/>
                <w:szCs w:val="22"/>
                <w:lang w:eastAsia="zh-CN"/>
              </w:rPr>
              <w:t>已</w:t>
            </w:r>
            <w:bookmarkStart w:id="1" w:name="_GoBack"/>
            <w:bookmarkEnd w:id="1"/>
            <w:r>
              <w:rPr>
                <w:rFonts w:hint="eastAsia" w:ascii="Arial Narrow" w:hAnsi="Arial Narrow" w:eastAsia="Arial Narrow" w:cs="Arial Narrow"/>
                <w:color w:val="000000"/>
                <w:sz w:val="22"/>
                <w:szCs w:val="22"/>
              </w:rPr>
              <w:t>投入募投项目自筹资金的议案》，同意公司使用募集资金156,868.66万元置换预先已投入募集资金投资项目的自筹资金。</w:t>
            </w:r>
          </w:p>
        </w:tc>
      </w:tr>
      <w:tr>
        <w:tblPrEx>
          <w:tblCellMar>
            <w:top w:w="0" w:type="dxa"/>
            <w:left w:w="108" w:type="dxa"/>
            <w:bottom w:w="0" w:type="dxa"/>
            <w:right w:w="108" w:type="dxa"/>
          </w:tblCellMar>
        </w:tblPrEx>
        <w:trPr>
          <w:trHeight w:val="312" w:hRule="atLeast"/>
        </w:trPr>
        <w:tc>
          <w:tcPr>
            <w:tcW w:w="6035"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用闲置募集资金暂时补充流动资金情况</w:t>
            </w:r>
          </w:p>
        </w:tc>
        <w:tc>
          <w:tcPr>
            <w:tcW w:w="6597"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不适用</w:t>
            </w:r>
          </w:p>
        </w:tc>
      </w:tr>
      <w:tr>
        <w:tblPrEx>
          <w:tblCellMar>
            <w:top w:w="0" w:type="dxa"/>
            <w:left w:w="108" w:type="dxa"/>
            <w:bottom w:w="0" w:type="dxa"/>
            <w:right w:w="108" w:type="dxa"/>
          </w:tblCellMar>
        </w:tblPrEx>
        <w:trPr>
          <w:trHeight w:val="310" w:hRule="atLeast"/>
        </w:trPr>
        <w:tc>
          <w:tcPr>
            <w:tcW w:w="6035"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用闲置募集资金进行现金管理情况</w:t>
            </w:r>
          </w:p>
        </w:tc>
        <w:tc>
          <w:tcPr>
            <w:tcW w:w="6597" w:type="dxa"/>
            <w:gridSpan w:val="7"/>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不适用</w:t>
            </w:r>
          </w:p>
        </w:tc>
      </w:tr>
      <w:tr>
        <w:tblPrEx>
          <w:tblCellMar>
            <w:top w:w="0" w:type="dxa"/>
            <w:left w:w="108" w:type="dxa"/>
            <w:bottom w:w="0" w:type="dxa"/>
            <w:right w:w="108" w:type="dxa"/>
          </w:tblCellMar>
        </w:tblPrEx>
        <w:trPr>
          <w:trHeight w:val="312" w:hRule="atLeast"/>
        </w:trPr>
        <w:tc>
          <w:tcPr>
            <w:tcW w:w="6035"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项目实施出现募集资金节余的金额及原因</w:t>
            </w:r>
          </w:p>
        </w:tc>
        <w:tc>
          <w:tcPr>
            <w:tcW w:w="6597" w:type="dxa"/>
            <w:gridSpan w:val="7"/>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不适用</w:t>
            </w:r>
          </w:p>
        </w:tc>
      </w:tr>
      <w:tr>
        <w:tblPrEx>
          <w:tblCellMar>
            <w:top w:w="0" w:type="dxa"/>
            <w:left w:w="108" w:type="dxa"/>
            <w:bottom w:w="0" w:type="dxa"/>
            <w:right w:w="108" w:type="dxa"/>
          </w:tblCellMar>
        </w:tblPrEx>
        <w:trPr>
          <w:trHeight w:val="590" w:hRule="atLeast"/>
        </w:trPr>
        <w:tc>
          <w:tcPr>
            <w:tcW w:w="6035"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Arial Narrow" w:hAnsi="Arial Narrow" w:cs="Arial Narrow"/>
                <w:color w:val="000000"/>
                <w:sz w:val="20"/>
              </w:rPr>
            </w:pPr>
            <w:r>
              <w:rPr>
                <w:rStyle w:val="30"/>
                <w:rFonts w:hint="default"/>
                <w:lang w:bidi="ar"/>
              </w:rPr>
              <w:t>尚未使用的募集资金用途及去向</w:t>
            </w:r>
          </w:p>
        </w:tc>
        <w:tc>
          <w:tcPr>
            <w:tcW w:w="6597" w:type="dxa"/>
            <w:gridSpan w:val="7"/>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截至 2023年12月31日，募集资金专户余额合计3.04万元，严格按照《募集资金管理办法》对募集资金进行专户管理，尚未使用的募集资金，均存放于银行监管账户。</w:t>
            </w:r>
          </w:p>
        </w:tc>
      </w:tr>
      <w:tr>
        <w:tblPrEx>
          <w:tblCellMar>
            <w:top w:w="0" w:type="dxa"/>
            <w:left w:w="108" w:type="dxa"/>
            <w:bottom w:w="0" w:type="dxa"/>
            <w:right w:w="108" w:type="dxa"/>
          </w:tblCellMar>
        </w:tblPrEx>
        <w:trPr>
          <w:trHeight w:val="327" w:hRule="atLeast"/>
        </w:trPr>
        <w:tc>
          <w:tcPr>
            <w:tcW w:w="6035" w:type="dxa"/>
            <w:gridSpan w:val="4"/>
            <w:tcBorders>
              <w:top w:val="single" w:color="000000" w:sz="4" w:space="0"/>
              <w:left w:val="single" w:color="000000" w:sz="8" w:space="0"/>
              <w:bottom w:val="single" w:color="000000" w:sz="8" w:space="0"/>
              <w:right w:val="single" w:color="000000" w:sz="4" w:space="0"/>
            </w:tcBorders>
            <w:vAlign w:val="center"/>
          </w:tcPr>
          <w:p>
            <w:pPr>
              <w:widowControl/>
              <w:jc w:val="left"/>
              <w:textAlignment w:val="center"/>
              <w:rPr>
                <w:rFonts w:ascii="Arial Narrow" w:hAnsi="Arial Narrow" w:eastAsia="Arial Narrow" w:cs="Arial Narrow"/>
                <w:color w:val="000000"/>
                <w:sz w:val="20"/>
              </w:rPr>
            </w:pPr>
            <w:r>
              <w:rPr>
                <w:rStyle w:val="30"/>
                <w:rFonts w:hint="default"/>
                <w:lang w:bidi="ar"/>
              </w:rPr>
              <w:t>募集资金使用及披露中存在的问题或其他情况</w:t>
            </w:r>
          </w:p>
        </w:tc>
        <w:tc>
          <w:tcPr>
            <w:tcW w:w="6597" w:type="dxa"/>
            <w:gridSpan w:val="7"/>
            <w:tcBorders>
              <w:top w:val="single" w:color="000000" w:sz="4" w:space="0"/>
              <w:left w:val="single" w:color="000000" w:sz="4" w:space="0"/>
              <w:bottom w:val="single" w:color="000000" w:sz="8" w:space="0"/>
              <w:right w:val="single" w:color="000000" w:sz="4" w:space="0"/>
            </w:tcBorders>
            <w:vAlign w:val="center"/>
          </w:tcPr>
          <w:p>
            <w:pPr>
              <w:widowControl/>
              <w:textAlignment w:val="center"/>
              <w:rPr>
                <w:rFonts w:ascii="Arial Narrow" w:hAnsi="Arial Narrow" w:eastAsia="Arial Narrow" w:cs="Arial Narrow"/>
                <w:color w:val="000000"/>
                <w:sz w:val="22"/>
                <w:szCs w:val="22"/>
              </w:rPr>
            </w:pPr>
            <w:r>
              <w:rPr>
                <w:rFonts w:hint="eastAsia" w:ascii="Arial Narrow" w:hAnsi="Arial Narrow" w:eastAsia="Arial Narrow" w:cs="Arial Narrow"/>
                <w:color w:val="000000"/>
                <w:sz w:val="22"/>
                <w:szCs w:val="22"/>
              </w:rPr>
              <w:t>不适用</w:t>
            </w:r>
          </w:p>
        </w:tc>
      </w:tr>
    </w:tbl>
    <w:p>
      <w:pPr>
        <w:pStyle w:val="36"/>
        <w:adjustRightInd/>
        <w:spacing w:line="580" w:lineRule="exact"/>
      </w:pPr>
    </w:p>
    <w:p>
      <w:pPr>
        <w:pStyle w:val="36"/>
        <w:adjustRightInd/>
        <w:spacing w:line="580" w:lineRule="exact"/>
      </w:pPr>
    </w:p>
    <w:p>
      <w:pPr>
        <w:pStyle w:val="36"/>
        <w:adjustRightInd/>
        <w:spacing w:line="580" w:lineRule="exact"/>
      </w:pPr>
    </w:p>
    <w:p>
      <w:pPr>
        <w:pStyle w:val="36"/>
        <w:adjustRightInd/>
        <w:spacing w:line="580" w:lineRule="exact"/>
      </w:pPr>
    </w:p>
    <w:p>
      <w:pPr>
        <w:pStyle w:val="36"/>
        <w:adjustRightInd/>
        <w:spacing w:line="580" w:lineRule="exact"/>
      </w:pPr>
    </w:p>
    <w:p>
      <w:pPr>
        <w:pStyle w:val="36"/>
        <w:adjustRightInd/>
        <w:spacing w:line="580" w:lineRule="exact"/>
      </w:pPr>
    </w:p>
    <w:p>
      <w:pPr>
        <w:pStyle w:val="36"/>
        <w:adjustRightInd/>
        <w:spacing w:line="580" w:lineRule="exact"/>
      </w:pPr>
    </w:p>
    <w:p>
      <w:pPr>
        <w:pStyle w:val="36"/>
        <w:adjustRightInd/>
        <w:spacing w:line="580" w:lineRule="exact"/>
      </w:pPr>
    </w:p>
    <w:p>
      <w:pPr>
        <w:pStyle w:val="36"/>
        <w:adjustRightInd/>
        <w:spacing w:line="580" w:lineRule="exact"/>
      </w:pPr>
    </w:p>
    <w:tbl>
      <w:tblPr>
        <w:tblStyle w:val="6"/>
        <w:tblW w:w="0" w:type="auto"/>
        <w:tblInd w:w="96" w:type="dxa"/>
        <w:tblLayout w:type="fixed"/>
        <w:tblCellMar>
          <w:top w:w="0" w:type="dxa"/>
          <w:left w:w="108" w:type="dxa"/>
          <w:bottom w:w="0" w:type="dxa"/>
          <w:right w:w="108" w:type="dxa"/>
        </w:tblCellMar>
      </w:tblPr>
      <w:tblGrid>
        <w:gridCol w:w="1440"/>
        <w:gridCol w:w="1524"/>
        <w:gridCol w:w="1356"/>
        <w:gridCol w:w="1200"/>
        <w:gridCol w:w="1284"/>
        <w:gridCol w:w="1260"/>
        <w:gridCol w:w="1248"/>
        <w:gridCol w:w="1032"/>
        <w:gridCol w:w="1080"/>
        <w:gridCol w:w="1668"/>
      </w:tblGrid>
      <w:tr>
        <w:tblPrEx>
          <w:tblCellMar>
            <w:top w:w="0" w:type="dxa"/>
            <w:left w:w="108" w:type="dxa"/>
            <w:bottom w:w="0" w:type="dxa"/>
            <w:right w:w="108" w:type="dxa"/>
          </w:tblCellMar>
        </w:tblPrEx>
        <w:trPr>
          <w:trHeight w:val="312" w:hRule="atLeast"/>
        </w:trPr>
        <w:tc>
          <w:tcPr>
            <w:tcW w:w="1440" w:type="dxa"/>
            <w:tcBorders>
              <w:top w:val="nil"/>
              <w:left w:val="nil"/>
              <w:bottom w:val="nil"/>
              <w:right w:val="nil"/>
            </w:tcBorders>
            <w:noWrap/>
            <w:vAlign w:val="center"/>
          </w:tcPr>
          <w:p>
            <w:pPr>
              <w:widowControl/>
              <w:jc w:val="left"/>
              <w:textAlignment w:val="center"/>
              <w:rPr>
                <w:rFonts w:ascii="宋体" w:hAnsi="宋体" w:cs="宋体"/>
                <w:b/>
                <w:bCs/>
                <w:color w:val="000000"/>
                <w:kern w:val="0"/>
                <w:sz w:val="24"/>
                <w:szCs w:val="24"/>
                <w:lang w:bidi="ar"/>
              </w:rPr>
            </w:pPr>
          </w:p>
          <w:p>
            <w:pPr>
              <w:widowControl/>
              <w:jc w:val="left"/>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附表3：</w:t>
            </w:r>
          </w:p>
        </w:tc>
        <w:tc>
          <w:tcPr>
            <w:tcW w:w="1524" w:type="dxa"/>
            <w:tcBorders>
              <w:top w:val="nil"/>
              <w:left w:val="nil"/>
              <w:bottom w:val="nil"/>
              <w:right w:val="nil"/>
            </w:tcBorders>
            <w:noWrap/>
            <w:vAlign w:val="center"/>
          </w:tcPr>
          <w:p>
            <w:pPr>
              <w:rPr>
                <w:rFonts w:ascii="Arial Narrow" w:hAnsi="Arial Narrow" w:eastAsia="Arial Narrow" w:cs="Arial Narrow"/>
                <w:color w:val="000000"/>
                <w:sz w:val="24"/>
                <w:szCs w:val="24"/>
              </w:rPr>
            </w:pPr>
          </w:p>
        </w:tc>
        <w:tc>
          <w:tcPr>
            <w:tcW w:w="1356" w:type="dxa"/>
            <w:tcBorders>
              <w:top w:val="nil"/>
              <w:left w:val="nil"/>
              <w:bottom w:val="nil"/>
              <w:right w:val="nil"/>
            </w:tcBorders>
            <w:noWrap/>
            <w:vAlign w:val="center"/>
          </w:tcPr>
          <w:p>
            <w:pPr>
              <w:rPr>
                <w:rFonts w:ascii="Arial Narrow" w:hAnsi="Arial Narrow" w:eastAsia="Arial Narrow" w:cs="Arial Narrow"/>
                <w:color w:val="000000"/>
                <w:sz w:val="24"/>
                <w:szCs w:val="24"/>
              </w:rPr>
            </w:pPr>
          </w:p>
        </w:tc>
        <w:tc>
          <w:tcPr>
            <w:tcW w:w="1200" w:type="dxa"/>
            <w:tcBorders>
              <w:top w:val="nil"/>
              <w:left w:val="nil"/>
              <w:bottom w:val="nil"/>
              <w:right w:val="nil"/>
            </w:tcBorders>
            <w:noWrap/>
            <w:vAlign w:val="center"/>
          </w:tcPr>
          <w:p>
            <w:pPr>
              <w:rPr>
                <w:rFonts w:ascii="Arial Narrow" w:hAnsi="Arial Narrow" w:eastAsia="Arial Narrow" w:cs="Arial Narrow"/>
                <w:color w:val="000000"/>
                <w:sz w:val="24"/>
                <w:szCs w:val="24"/>
              </w:rPr>
            </w:pPr>
          </w:p>
        </w:tc>
        <w:tc>
          <w:tcPr>
            <w:tcW w:w="1284" w:type="dxa"/>
            <w:tcBorders>
              <w:top w:val="nil"/>
              <w:left w:val="nil"/>
              <w:bottom w:val="nil"/>
              <w:right w:val="nil"/>
            </w:tcBorders>
            <w:noWrap/>
            <w:vAlign w:val="center"/>
          </w:tcPr>
          <w:p>
            <w:pPr>
              <w:rPr>
                <w:rFonts w:ascii="Arial Narrow" w:hAnsi="Arial Narrow" w:eastAsia="Arial Narrow" w:cs="Arial Narrow"/>
                <w:color w:val="000000"/>
                <w:sz w:val="24"/>
                <w:szCs w:val="24"/>
              </w:rPr>
            </w:pPr>
          </w:p>
        </w:tc>
        <w:tc>
          <w:tcPr>
            <w:tcW w:w="1260" w:type="dxa"/>
            <w:tcBorders>
              <w:top w:val="nil"/>
              <w:left w:val="nil"/>
              <w:bottom w:val="nil"/>
              <w:right w:val="nil"/>
            </w:tcBorders>
            <w:noWrap/>
            <w:vAlign w:val="center"/>
          </w:tcPr>
          <w:p>
            <w:pPr>
              <w:rPr>
                <w:rFonts w:ascii="Arial Narrow" w:hAnsi="Arial Narrow" w:eastAsia="Arial Narrow" w:cs="Arial Narrow"/>
                <w:color w:val="000000"/>
                <w:sz w:val="24"/>
                <w:szCs w:val="24"/>
              </w:rPr>
            </w:pPr>
          </w:p>
        </w:tc>
        <w:tc>
          <w:tcPr>
            <w:tcW w:w="1248" w:type="dxa"/>
            <w:tcBorders>
              <w:top w:val="nil"/>
              <w:left w:val="nil"/>
              <w:bottom w:val="nil"/>
              <w:right w:val="nil"/>
            </w:tcBorders>
            <w:noWrap/>
            <w:vAlign w:val="center"/>
          </w:tcPr>
          <w:p>
            <w:pPr>
              <w:rPr>
                <w:rFonts w:ascii="Arial Narrow" w:hAnsi="Arial Narrow" w:eastAsia="Arial Narrow" w:cs="Arial Narrow"/>
                <w:color w:val="000000"/>
                <w:sz w:val="24"/>
                <w:szCs w:val="24"/>
              </w:rPr>
            </w:pPr>
          </w:p>
        </w:tc>
        <w:tc>
          <w:tcPr>
            <w:tcW w:w="1032" w:type="dxa"/>
            <w:tcBorders>
              <w:top w:val="nil"/>
              <w:left w:val="nil"/>
              <w:bottom w:val="nil"/>
              <w:right w:val="nil"/>
            </w:tcBorders>
            <w:noWrap/>
            <w:vAlign w:val="center"/>
          </w:tcPr>
          <w:p>
            <w:pPr>
              <w:rPr>
                <w:rFonts w:ascii="Arial Narrow" w:hAnsi="Arial Narrow" w:eastAsia="Arial Narrow" w:cs="Arial Narrow"/>
                <w:color w:val="000000"/>
                <w:sz w:val="24"/>
                <w:szCs w:val="24"/>
              </w:rPr>
            </w:pPr>
          </w:p>
        </w:tc>
        <w:tc>
          <w:tcPr>
            <w:tcW w:w="1080" w:type="dxa"/>
            <w:tcBorders>
              <w:top w:val="nil"/>
              <w:left w:val="nil"/>
              <w:bottom w:val="nil"/>
              <w:right w:val="nil"/>
            </w:tcBorders>
            <w:noWrap/>
            <w:vAlign w:val="center"/>
          </w:tcPr>
          <w:p>
            <w:pPr>
              <w:rPr>
                <w:rFonts w:ascii="Arial Narrow" w:hAnsi="Arial Narrow" w:eastAsia="Arial Narrow" w:cs="Arial Narrow"/>
                <w:color w:val="000000"/>
                <w:sz w:val="24"/>
                <w:szCs w:val="24"/>
              </w:rPr>
            </w:pPr>
          </w:p>
        </w:tc>
        <w:tc>
          <w:tcPr>
            <w:tcW w:w="1668" w:type="dxa"/>
            <w:tcBorders>
              <w:top w:val="nil"/>
              <w:left w:val="nil"/>
              <w:bottom w:val="nil"/>
              <w:right w:val="nil"/>
            </w:tcBorders>
            <w:noWrap/>
            <w:vAlign w:val="center"/>
          </w:tcPr>
          <w:p>
            <w:pPr>
              <w:rPr>
                <w:rFonts w:ascii="Arial Narrow" w:hAnsi="Arial Narrow" w:eastAsia="Arial Narrow" w:cs="Arial Narrow"/>
                <w:color w:val="000000"/>
                <w:sz w:val="24"/>
                <w:szCs w:val="24"/>
              </w:rPr>
            </w:pPr>
          </w:p>
        </w:tc>
      </w:tr>
      <w:tr>
        <w:tblPrEx>
          <w:tblCellMar>
            <w:top w:w="0" w:type="dxa"/>
            <w:left w:w="108" w:type="dxa"/>
            <w:bottom w:w="0" w:type="dxa"/>
            <w:right w:w="108" w:type="dxa"/>
          </w:tblCellMar>
        </w:tblPrEx>
        <w:trPr>
          <w:trHeight w:val="495" w:hRule="atLeast"/>
        </w:trPr>
        <w:tc>
          <w:tcPr>
            <w:tcW w:w="13092" w:type="dxa"/>
            <w:gridSpan w:val="10"/>
            <w:tcBorders>
              <w:top w:val="nil"/>
              <w:left w:val="nil"/>
              <w:bottom w:val="nil"/>
              <w:right w:val="nil"/>
            </w:tcBorders>
            <w:noWrap/>
            <w:vAlign w:val="center"/>
          </w:tcPr>
          <w:p>
            <w:pPr>
              <w:widowControl/>
              <w:jc w:val="center"/>
              <w:textAlignment w:val="center"/>
              <w:rPr>
                <w:rFonts w:ascii="黑体" w:hAnsi="宋体" w:eastAsia="黑体" w:cs="黑体"/>
                <w:b/>
                <w:bCs/>
                <w:color w:val="000000"/>
                <w:sz w:val="44"/>
                <w:szCs w:val="44"/>
              </w:rPr>
            </w:pPr>
            <w:r>
              <w:rPr>
                <w:rFonts w:hint="eastAsia" w:ascii="黑体" w:hAnsi="宋体" w:eastAsia="黑体" w:cs="黑体"/>
                <w:b/>
                <w:bCs/>
                <w:color w:val="000000"/>
                <w:kern w:val="0"/>
                <w:sz w:val="44"/>
                <w:szCs w:val="44"/>
                <w:lang w:bidi="ar"/>
              </w:rPr>
              <w:t>变更募集资金投资项目情况表</w:t>
            </w:r>
          </w:p>
        </w:tc>
      </w:tr>
      <w:tr>
        <w:tblPrEx>
          <w:tblCellMar>
            <w:top w:w="0" w:type="dxa"/>
            <w:left w:w="108" w:type="dxa"/>
            <w:bottom w:w="0" w:type="dxa"/>
            <w:right w:w="108" w:type="dxa"/>
          </w:tblCellMar>
        </w:tblPrEx>
        <w:trPr>
          <w:trHeight w:val="495" w:hRule="atLeast"/>
        </w:trPr>
        <w:tc>
          <w:tcPr>
            <w:tcW w:w="13092" w:type="dxa"/>
            <w:gridSpan w:val="10"/>
            <w:tcBorders>
              <w:top w:val="nil"/>
              <w:left w:val="nil"/>
              <w:bottom w:val="nil"/>
              <w:right w:val="nil"/>
            </w:tcBorders>
            <w:noWrap/>
            <w:vAlign w:val="center"/>
          </w:tcPr>
          <w:p>
            <w:pPr>
              <w:widowControl/>
              <w:jc w:val="center"/>
              <w:textAlignment w:val="center"/>
              <w:rPr>
                <w:rFonts w:ascii="Arial Narrow" w:hAnsi="Arial Narrow" w:eastAsia="Arial Narrow" w:cs="Arial Narrow"/>
                <w:b/>
                <w:bCs/>
                <w:color w:val="000000"/>
                <w:sz w:val="24"/>
                <w:szCs w:val="24"/>
              </w:rPr>
            </w:pPr>
            <w:r>
              <w:rPr>
                <w:rFonts w:ascii="Arial Narrow" w:hAnsi="Arial Narrow" w:eastAsia="Arial Narrow" w:cs="Arial Narrow"/>
                <w:b/>
                <w:bCs/>
                <w:color w:val="000000"/>
                <w:kern w:val="0"/>
                <w:sz w:val="24"/>
                <w:szCs w:val="24"/>
                <w:lang w:bidi="ar"/>
              </w:rPr>
              <w:t>20</w:t>
            </w:r>
            <w:r>
              <w:rPr>
                <w:rFonts w:hint="eastAsia" w:ascii="Arial Narrow" w:hAnsi="Arial Narrow" w:cs="Arial Narrow"/>
                <w:b/>
                <w:bCs/>
                <w:color w:val="000000"/>
                <w:kern w:val="0"/>
                <w:sz w:val="24"/>
                <w:szCs w:val="24"/>
                <w:lang w:bidi="ar"/>
              </w:rPr>
              <w:t>23</w:t>
            </w:r>
            <w:r>
              <w:rPr>
                <w:rStyle w:val="15"/>
                <w:rFonts w:hint="default"/>
                <w:lang w:bidi="ar"/>
              </w:rPr>
              <w:t>年度</w:t>
            </w:r>
          </w:p>
        </w:tc>
      </w:tr>
      <w:tr>
        <w:tblPrEx>
          <w:tblCellMar>
            <w:top w:w="0" w:type="dxa"/>
            <w:left w:w="108" w:type="dxa"/>
            <w:bottom w:w="0" w:type="dxa"/>
            <w:right w:w="108" w:type="dxa"/>
          </w:tblCellMar>
        </w:tblPrEx>
        <w:trPr>
          <w:trHeight w:val="465" w:hRule="atLeast"/>
        </w:trPr>
        <w:tc>
          <w:tcPr>
            <w:tcW w:w="1440" w:type="dxa"/>
            <w:tcBorders>
              <w:top w:val="nil"/>
              <w:left w:val="nil"/>
              <w:bottom w:val="nil"/>
              <w:right w:val="nil"/>
            </w:tcBorders>
            <w:noWrap/>
            <w:vAlign w:val="center"/>
          </w:tcPr>
          <w:p>
            <w:pPr>
              <w:widowControl/>
              <w:jc w:val="left"/>
              <w:textAlignment w:val="center"/>
              <w:rPr>
                <w:rFonts w:ascii="Arial Narrow" w:hAnsi="Arial Narrow" w:eastAsia="Arial Narrow" w:cs="Arial Narrow"/>
                <w:color w:val="000000"/>
                <w:sz w:val="20"/>
              </w:rPr>
            </w:pPr>
            <w:r>
              <w:rPr>
                <w:rFonts w:hint="eastAsia" w:ascii="宋体" w:hAnsi="宋体" w:cs="宋体"/>
                <w:b/>
                <w:bCs/>
                <w:color w:val="000000"/>
                <w:kern w:val="0"/>
                <w:sz w:val="20"/>
                <w:lang w:bidi="ar"/>
              </w:rPr>
              <w:t>编制单位：</w:t>
            </w:r>
          </w:p>
        </w:tc>
        <w:tc>
          <w:tcPr>
            <w:tcW w:w="1524" w:type="dxa"/>
            <w:tcBorders>
              <w:top w:val="nil"/>
              <w:left w:val="nil"/>
              <w:bottom w:val="nil"/>
              <w:right w:val="nil"/>
            </w:tcBorders>
            <w:noWrap/>
            <w:vAlign w:val="center"/>
          </w:tcPr>
          <w:p>
            <w:pPr>
              <w:rPr>
                <w:rFonts w:ascii="Arial Narrow" w:hAnsi="Arial Narrow" w:eastAsia="Arial Narrow" w:cs="Arial Narrow"/>
                <w:color w:val="000000"/>
                <w:sz w:val="20"/>
              </w:rPr>
            </w:pPr>
          </w:p>
        </w:tc>
        <w:tc>
          <w:tcPr>
            <w:tcW w:w="1356" w:type="dxa"/>
            <w:tcBorders>
              <w:top w:val="nil"/>
              <w:left w:val="nil"/>
              <w:bottom w:val="nil"/>
              <w:right w:val="nil"/>
            </w:tcBorders>
            <w:noWrap/>
            <w:vAlign w:val="center"/>
          </w:tcPr>
          <w:p>
            <w:pPr>
              <w:rPr>
                <w:rFonts w:ascii="Arial Narrow" w:hAnsi="Arial Narrow" w:eastAsia="Arial Narrow" w:cs="Arial Narrow"/>
                <w:color w:val="000000"/>
                <w:sz w:val="20"/>
              </w:rPr>
            </w:pPr>
          </w:p>
        </w:tc>
        <w:tc>
          <w:tcPr>
            <w:tcW w:w="1200" w:type="dxa"/>
            <w:tcBorders>
              <w:top w:val="nil"/>
              <w:left w:val="nil"/>
              <w:bottom w:val="nil"/>
              <w:right w:val="nil"/>
            </w:tcBorders>
            <w:noWrap/>
            <w:vAlign w:val="center"/>
          </w:tcPr>
          <w:p>
            <w:pPr>
              <w:rPr>
                <w:rFonts w:ascii="Arial Narrow" w:hAnsi="Arial Narrow" w:eastAsia="Arial Narrow" w:cs="Arial Narrow"/>
                <w:color w:val="000000"/>
                <w:sz w:val="20"/>
              </w:rPr>
            </w:pPr>
          </w:p>
        </w:tc>
        <w:tc>
          <w:tcPr>
            <w:tcW w:w="1284" w:type="dxa"/>
            <w:tcBorders>
              <w:top w:val="nil"/>
              <w:left w:val="nil"/>
              <w:bottom w:val="nil"/>
              <w:right w:val="nil"/>
            </w:tcBorders>
            <w:noWrap/>
            <w:vAlign w:val="center"/>
          </w:tcPr>
          <w:p>
            <w:pPr>
              <w:rPr>
                <w:rFonts w:ascii="Arial Narrow" w:hAnsi="Arial Narrow" w:eastAsia="Arial Narrow" w:cs="Arial Narrow"/>
                <w:color w:val="000000"/>
                <w:sz w:val="20"/>
              </w:rPr>
            </w:pPr>
          </w:p>
        </w:tc>
        <w:tc>
          <w:tcPr>
            <w:tcW w:w="1260" w:type="dxa"/>
            <w:tcBorders>
              <w:top w:val="nil"/>
              <w:left w:val="nil"/>
              <w:bottom w:val="nil"/>
              <w:right w:val="nil"/>
            </w:tcBorders>
            <w:noWrap/>
            <w:vAlign w:val="center"/>
          </w:tcPr>
          <w:p>
            <w:pPr>
              <w:rPr>
                <w:rFonts w:ascii="Arial Narrow" w:hAnsi="Arial Narrow" w:eastAsia="Arial Narrow" w:cs="Arial Narrow"/>
                <w:color w:val="000000"/>
                <w:sz w:val="20"/>
              </w:rPr>
            </w:pPr>
          </w:p>
        </w:tc>
        <w:tc>
          <w:tcPr>
            <w:tcW w:w="1248" w:type="dxa"/>
            <w:tcBorders>
              <w:top w:val="nil"/>
              <w:left w:val="nil"/>
              <w:bottom w:val="nil"/>
              <w:right w:val="nil"/>
            </w:tcBorders>
            <w:noWrap/>
            <w:vAlign w:val="center"/>
          </w:tcPr>
          <w:p>
            <w:pPr>
              <w:rPr>
                <w:rFonts w:ascii="Arial Narrow" w:hAnsi="Arial Narrow" w:eastAsia="Arial Narrow" w:cs="Arial Narrow"/>
                <w:color w:val="000000"/>
                <w:sz w:val="20"/>
              </w:rPr>
            </w:pPr>
          </w:p>
        </w:tc>
        <w:tc>
          <w:tcPr>
            <w:tcW w:w="3780" w:type="dxa"/>
            <w:gridSpan w:val="3"/>
            <w:tcBorders>
              <w:top w:val="nil"/>
              <w:left w:val="nil"/>
              <w:bottom w:val="single" w:color="000000" w:sz="8" w:space="0"/>
              <w:right w:val="nil"/>
            </w:tcBorders>
            <w:noWrap/>
            <w:vAlign w:val="center"/>
          </w:tcPr>
          <w:p>
            <w:pPr>
              <w:widowControl/>
              <w:jc w:val="right"/>
              <w:textAlignment w:val="center"/>
              <w:rPr>
                <w:rFonts w:ascii="Arial Narrow" w:hAnsi="Arial Narrow" w:eastAsia="Arial Narrow" w:cs="Arial Narrow"/>
                <w:b/>
                <w:bCs/>
                <w:color w:val="000000"/>
                <w:sz w:val="20"/>
              </w:rPr>
            </w:pPr>
            <w:r>
              <w:rPr>
                <w:rFonts w:hint="eastAsia" w:ascii="宋体" w:hAnsi="宋体" w:cs="宋体"/>
                <w:b/>
                <w:bCs/>
                <w:color w:val="000000"/>
                <w:kern w:val="0"/>
                <w:sz w:val="20"/>
                <w:lang w:bidi="ar"/>
              </w:rPr>
              <w:t>金额单位：人民币万元</w:t>
            </w:r>
          </w:p>
        </w:tc>
      </w:tr>
      <w:tr>
        <w:tblPrEx>
          <w:tblCellMar>
            <w:top w:w="0" w:type="dxa"/>
            <w:left w:w="108" w:type="dxa"/>
            <w:bottom w:w="0" w:type="dxa"/>
            <w:right w:w="108" w:type="dxa"/>
          </w:tblCellMar>
        </w:tblPrEx>
        <w:trPr>
          <w:trHeight w:val="792" w:hRule="atLeast"/>
        </w:trPr>
        <w:tc>
          <w:tcPr>
            <w:tcW w:w="1440" w:type="dxa"/>
            <w:tcBorders>
              <w:top w:val="single" w:color="000000" w:sz="8" w:space="0"/>
              <w:left w:val="single" w:color="000000" w:sz="8"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0"/>
                <w:lang w:bidi="ar"/>
              </w:rPr>
              <w:t>变更后的项目</w:t>
            </w:r>
          </w:p>
        </w:tc>
        <w:tc>
          <w:tcPr>
            <w:tcW w:w="1524"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0"/>
                <w:lang w:bidi="ar"/>
              </w:rPr>
              <w:t>对应的原承诺项目</w:t>
            </w:r>
          </w:p>
        </w:tc>
        <w:tc>
          <w:tcPr>
            <w:tcW w:w="1356"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0"/>
                <w:lang w:bidi="ar"/>
              </w:rPr>
              <w:t>变更后项目拟投入募集资金总额（</w:t>
            </w:r>
            <w:r>
              <w:rPr>
                <w:rStyle w:val="27"/>
                <w:lang w:bidi="ar"/>
              </w:rPr>
              <w:t>1</w:t>
            </w:r>
            <w:r>
              <w:rPr>
                <w:rFonts w:hint="eastAsia" w:ascii="宋体" w:hAnsi="宋体" w:cs="宋体"/>
                <w:color w:val="000000"/>
                <w:kern w:val="0"/>
                <w:sz w:val="20"/>
                <w:lang w:bidi="ar"/>
              </w:rPr>
              <w:t>）</w:t>
            </w:r>
          </w:p>
        </w:tc>
        <w:tc>
          <w:tcPr>
            <w:tcW w:w="1200"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0"/>
                <w:lang w:bidi="ar"/>
              </w:rPr>
              <w:t>本年度实际投入金额</w:t>
            </w:r>
          </w:p>
        </w:tc>
        <w:tc>
          <w:tcPr>
            <w:tcW w:w="1284"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0"/>
                <w:lang w:bidi="ar"/>
              </w:rPr>
              <w:t>截至期末实际累计投入金额</w:t>
            </w:r>
            <w:r>
              <w:rPr>
                <w:rStyle w:val="27"/>
                <w:lang w:bidi="ar"/>
              </w:rPr>
              <w:t>(2)</w:t>
            </w:r>
          </w:p>
        </w:tc>
        <w:tc>
          <w:tcPr>
            <w:tcW w:w="1260"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0"/>
                <w:lang w:bidi="ar"/>
              </w:rPr>
              <w:t>截至期末投资进度（</w:t>
            </w:r>
            <w:r>
              <w:rPr>
                <w:rStyle w:val="27"/>
                <w:lang w:bidi="ar"/>
              </w:rPr>
              <w:t>%</w:t>
            </w:r>
            <w:r>
              <w:rPr>
                <w:rFonts w:hint="eastAsia" w:ascii="宋体" w:hAnsi="宋体" w:cs="宋体"/>
                <w:color w:val="000000"/>
                <w:kern w:val="0"/>
                <w:sz w:val="20"/>
                <w:lang w:bidi="ar"/>
              </w:rPr>
              <w:t>）</w:t>
            </w:r>
            <w:r>
              <w:rPr>
                <w:rStyle w:val="27"/>
                <w:lang w:bidi="ar"/>
              </w:rPr>
              <w:t>(3)=(2)/(1)</w:t>
            </w:r>
          </w:p>
        </w:tc>
        <w:tc>
          <w:tcPr>
            <w:tcW w:w="1248"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0"/>
                <w:lang w:bidi="ar"/>
              </w:rPr>
              <w:t>项目达到预定可使用状态日期</w:t>
            </w:r>
          </w:p>
        </w:tc>
        <w:tc>
          <w:tcPr>
            <w:tcW w:w="1032"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0"/>
                <w:lang w:bidi="ar"/>
              </w:rPr>
              <w:t>本年度实现的效益</w:t>
            </w:r>
          </w:p>
        </w:tc>
        <w:tc>
          <w:tcPr>
            <w:tcW w:w="1080"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0"/>
                <w:lang w:bidi="ar"/>
              </w:rPr>
              <w:t>是否达到预计效益</w:t>
            </w:r>
          </w:p>
        </w:tc>
        <w:tc>
          <w:tcPr>
            <w:tcW w:w="1668" w:type="dxa"/>
            <w:tcBorders>
              <w:top w:val="single" w:color="000000" w:sz="8" w:space="0"/>
              <w:left w:val="single" w:color="000000" w:sz="4" w:space="0"/>
              <w:bottom w:val="single" w:color="000000" w:sz="4" w:space="0"/>
              <w:right w:val="single" w:color="000000" w:sz="8"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color w:val="000000"/>
                <w:kern w:val="0"/>
                <w:sz w:val="20"/>
                <w:lang w:bidi="ar"/>
              </w:rPr>
              <w:t>变更后的项目可行性是否发生重大变化</w:t>
            </w:r>
          </w:p>
        </w:tc>
      </w:tr>
      <w:tr>
        <w:tblPrEx>
          <w:tblCellMar>
            <w:top w:w="0" w:type="dxa"/>
            <w:left w:w="108" w:type="dxa"/>
            <w:bottom w:w="0" w:type="dxa"/>
            <w:right w:w="108" w:type="dxa"/>
          </w:tblCellMar>
        </w:tblPrEx>
        <w:trPr>
          <w:trHeight w:val="585" w:hRule="atLeast"/>
        </w:trPr>
        <w:tc>
          <w:tcPr>
            <w:tcW w:w="1440" w:type="dxa"/>
            <w:tcBorders>
              <w:top w:val="single" w:color="000000" w:sz="4" w:space="0"/>
              <w:left w:val="single" w:color="000000" w:sz="8"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52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0"/>
              </w:rPr>
            </w:pPr>
          </w:p>
        </w:tc>
        <w:tc>
          <w:tcPr>
            <w:tcW w:w="1668"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585" w:hRule="atLeast"/>
        </w:trPr>
        <w:tc>
          <w:tcPr>
            <w:tcW w:w="1440" w:type="dxa"/>
            <w:tcBorders>
              <w:top w:val="single" w:color="000000" w:sz="4" w:space="0"/>
              <w:left w:val="single" w:color="000000" w:sz="8"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52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0"/>
              </w:rPr>
            </w:pPr>
          </w:p>
        </w:tc>
        <w:tc>
          <w:tcPr>
            <w:tcW w:w="1668"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585" w:hRule="atLeast"/>
        </w:trPr>
        <w:tc>
          <w:tcPr>
            <w:tcW w:w="1440" w:type="dxa"/>
            <w:tcBorders>
              <w:top w:val="single" w:color="000000" w:sz="4" w:space="0"/>
              <w:left w:val="single" w:color="000000" w:sz="8"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52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0"/>
              </w:rPr>
            </w:pPr>
          </w:p>
        </w:tc>
        <w:tc>
          <w:tcPr>
            <w:tcW w:w="1668"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585" w:hRule="atLeast"/>
        </w:trPr>
        <w:tc>
          <w:tcPr>
            <w:tcW w:w="1440" w:type="dxa"/>
            <w:tcBorders>
              <w:top w:val="single" w:color="000000" w:sz="4" w:space="0"/>
              <w:left w:val="single" w:color="000000" w:sz="8"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52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0"/>
              </w:rPr>
            </w:pPr>
          </w:p>
        </w:tc>
        <w:tc>
          <w:tcPr>
            <w:tcW w:w="1668"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585" w:hRule="atLeast"/>
        </w:trPr>
        <w:tc>
          <w:tcPr>
            <w:tcW w:w="1440" w:type="dxa"/>
            <w:tcBorders>
              <w:top w:val="single" w:color="000000" w:sz="4" w:space="0"/>
              <w:left w:val="single" w:color="000000" w:sz="8"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52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0"/>
              </w:rPr>
            </w:pPr>
          </w:p>
        </w:tc>
        <w:tc>
          <w:tcPr>
            <w:tcW w:w="1668"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585" w:hRule="atLeast"/>
        </w:trPr>
        <w:tc>
          <w:tcPr>
            <w:tcW w:w="1440" w:type="dxa"/>
            <w:tcBorders>
              <w:top w:val="single" w:color="000000" w:sz="4" w:space="0"/>
              <w:left w:val="single" w:color="000000" w:sz="8"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52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0"/>
              </w:rPr>
            </w:pPr>
          </w:p>
        </w:tc>
        <w:tc>
          <w:tcPr>
            <w:tcW w:w="1668"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585" w:hRule="atLeast"/>
        </w:trPr>
        <w:tc>
          <w:tcPr>
            <w:tcW w:w="1440" w:type="dxa"/>
            <w:tcBorders>
              <w:top w:val="single" w:color="000000" w:sz="4" w:space="0"/>
              <w:left w:val="single" w:color="000000" w:sz="8"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52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ascii="Arial Narrow" w:hAnsi="Arial Narrow" w:eastAsia="Arial Narrow" w:cs="Arial Narrow"/>
                <w:color w:val="000000"/>
                <w:sz w:val="20"/>
              </w:rPr>
            </w:pPr>
          </w:p>
        </w:tc>
        <w:tc>
          <w:tcPr>
            <w:tcW w:w="1668"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585" w:hRule="atLeast"/>
        </w:trPr>
        <w:tc>
          <w:tcPr>
            <w:tcW w:w="1440" w:type="dxa"/>
            <w:tcBorders>
              <w:top w:val="single" w:color="000000" w:sz="4" w:space="0"/>
              <w:left w:val="single" w:color="000000" w:sz="8"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52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356"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8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668"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585" w:hRule="atLeast"/>
        </w:trPr>
        <w:tc>
          <w:tcPr>
            <w:tcW w:w="1440"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hint="eastAsia" w:ascii="宋体" w:hAnsi="宋体" w:cs="宋体"/>
                <w:b/>
                <w:bCs/>
                <w:color w:val="000000"/>
                <w:kern w:val="0"/>
                <w:sz w:val="20"/>
                <w:lang w:bidi="ar"/>
              </w:rPr>
              <w:t>合计</w:t>
            </w:r>
          </w:p>
        </w:tc>
        <w:tc>
          <w:tcPr>
            <w:tcW w:w="1524"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0"/>
                <w:lang w:bidi="ar"/>
              </w:rPr>
              <w:t xml:space="preserve"> -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0"/>
                <w:lang w:bidi="ar"/>
              </w:rPr>
              <w:t xml:space="preserve"> -   </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0"/>
                <w:lang w:bidi="ar"/>
              </w:rPr>
              <w:t xml:space="preserve"> -   </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Narrow" w:hAnsi="Arial Narrow" w:eastAsia="Arial Narrow" w:cs="Arial Narrow"/>
                <w:color w:val="000000"/>
                <w:sz w:val="20"/>
              </w:rPr>
            </w:pPr>
            <w:r>
              <w:rPr>
                <w:rFonts w:ascii="Arial Narrow" w:hAnsi="Arial Narrow" w:eastAsia="Arial Narrow" w:cs="Arial Narrow"/>
                <w:color w:val="000000"/>
                <w:kern w:val="0"/>
                <w:sz w:val="20"/>
                <w:lang w:bidi="ar"/>
              </w:rPr>
              <w:t xml:space="preserve"> -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1668" w:type="dxa"/>
            <w:tcBorders>
              <w:top w:val="single" w:color="000000" w:sz="4" w:space="0"/>
              <w:left w:val="single" w:color="000000" w:sz="4" w:space="0"/>
              <w:bottom w:val="single" w:color="000000" w:sz="4" w:space="0"/>
              <w:right w:val="single" w:color="000000" w:sz="8"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585" w:hRule="atLeast"/>
        </w:trPr>
        <w:tc>
          <w:tcPr>
            <w:tcW w:w="4320" w:type="dxa"/>
            <w:gridSpan w:val="3"/>
            <w:tcBorders>
              <w:top w:val="single" w:color="000000" w:sz="4" w:space="0"/>
              <w:left w:val="single" w:color="000000" w:sz="8" w:space="0"/>
              <w:bottom w:val="single" w:color="000000" w:sz="4" w:space="0"/>
              <w:right w:val="single" w:color="000000" w:sz="4" w:space="0"/>
            </w:tcBorders>
            <w:vAlign w:val="center"/>
          </w:tcPr>
          <w:p>
            <w:pPr>
              <w:widowControl/>
              <w:textAlignment w:val="center"/>
              <w:rPr>
                <w:rFonts w:ascii="Arial Narrow" w:hAnsi="Arial Narrow" w:eastAsia="Arial Narrow" w:cs="Arial Narrow"/>
                <w:sz w:val="20"/>
              </w:rPr>
            </w:pPr>
            <w:r>
              <w:rPr>
                <w:rFonts w:hint="eastAsia" w:ascii="宋体" w:hAnsi="宋体" w:cs="宋体"/>
                <w:kern w:val="0"/>
                <w:sz w:val="20"/>
                <w:lang w:bidi="ar"/>
              </w:rPr>
              <w:t>变更原因、决策程序及信息披露情况说明【分具体募投项目】</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757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585" w:hRule="atLeast"/>
        </w:trPr>
        <w:tc>
          <w:tcPr>
            <w:tcW w:w="4320" w:type="dxa"/>
            <w:gridSpan w:val="3"/>
            <w:tcBorders>
              <w:top w:val="single" w:color="000000" w:sz="4" w:space="0"/>
              <w:left w:val="single" w:color="000000" w:sz="8" w:space="0"/>
              <w:bottom w:val="single" w:color="000000" w:sz="4" w:space="0"/>
              <w:right w:val="single" w:color="000000" w:sz="4" w:space="0"/>
            </w:tcBorders>
            <w:vAlign w:val="center"/>
          </w:tcPr>
          <w:p>
            <w:pPr>
              <w:widowControl/>
              <w:textAlignment w:val="center"/>
              <w:rPr>
                <w:rFonts w:ascii="Arial Narrow" w:hAnsi="Arial Narrow" w:eastAsia="Arial Narrow" w:cs="Arial Narrow"/>
                <w:sz w:val="20"/>
              </w:rPr>
            </w:pPr>
            <w:r>
              <w:rPr>
                <w:rFonts w:hint="eastAsia" w:ascii="宋体" w:hAnsi="宋体" w:cs="宋体"/>
                <w:kern w:val="0"/>
                <w:sz w:val="20"/>
                <w:lang w:bidi="ar"/>
              </w:rPr>
              <w:t>未达到计划进度或预计收益的情况和原因【分具体募投项目】</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c>
          <w:tcPr>
            <w:tcW w:w="757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Arial Narrow" w:hAnsi="Arial Narrow" w:eastAsia="Arial Narrow" w:cs="Arial Narrow"/>
                <w:color w:val="000000"/>
                <w:sz w:val="20"/>
              </w:rPr>
            </w:pPr>
          </w:p>
        </w:tc>
      </w:tr>
      <w:tr>
        <w:tblPrEx>
          <w:tblCellMar>
            <w:top w:w="0" w:type="dxa"/>
            <w:left w:w="108" w:type="dxa"/>
            <w:bottom w:w="0" w:type="dxa"/>
            <w:right w:w="108" w:type="dxa"/>
          </w:tblCellMar>
        </w:tblPrEx>
        <w:trPr>
          <w:trHeight w:val="585" w:hRule="atLeast"/>
        </w:trPr>
        <w:tc>
          <w:tcPr>
            <w:tcW w:w="4320" w:type="dxa"/>
            <w:gridSpan w:val="3"/>
            <w:tcBorders>
              <w:top w:val="single" w:color="000000" w:sz="4" w:space="0"/>
              <w:left w:val="single" w:color="000000" w:sz="8" w:space="0"/>
              <w:bottom w:val="single" w:color="000000" w:sz="8" w:space="0"/>
              <w:right w:val="single" w:color="000000" w:sz="4" w:space="0"/>
            </w:tcBorders>
            <w:vAlign w:val="center"/>
          </w:tcPr>
          <w:p>
            <w:pPr>
              <w:widowControl/>
              <w:textAlignment w:val="center"/>
              <w:rPr>
                <w:rFonts w:ascii="Arial Narrow" w:hAnsi="Arial Narrow" w:eastAsia="Arial Narrow" w:cs="Arial Narrow"/>
                <w:color w:val="000000"/>
                <w:sz w:val="20"/>
              </w:rPr>
            </w:pPr>
            <w:r>
              <w:rPr>
                <w:rFonts w:hint="eastAsia" w:ascii="宋体" w:hAnsi="宋体" w:cs="宋体"/>
                <w:color w:val="000000"/>
                <w:kern w:val="0"/>
                <w:sz w:val="20"/>
                <w:lang w:bidi="ar"/>
              </w:rPr>
              <w:t>变更后的项目可行性发生重大变化的情况说明</w:t>
            </w:r>
          </w:p>
        </w:tc>
        <w:tc>
          <w:tcPr>
            <w:tcW w:w="1200" w:type="dxa"/>
            <w:tcBorders>
              <w:top w:val="single" w:color="000000" w:sz="4" w:space="0"/>
              <w:left w:val="single" w:color="000000" w:sz="4" w:space="0"/>
              <w:bottom w:val="single" w:color="000000" w:sz="8" w:space="0"/>
              <w:right w:val="single" w:color="000000" w:sz="4" w:space="0"/>
            </w:tcBorders>
            <w:vAlign w:val="center"/>
          </w:tcPr>
          <w:p>
            <w:pPr>
              <w:jc w:val="center"/>
              <w:rPr>
                <w:rFonts w:ascii="Arial Narrow" w:hAnsi="Arial Narrow" w:eastAsia="Arial Narrow" w:cs="Arial Narrow"/>
                <w:color w:val="000000"/>
                <w:sz w:val="20"/>
              </w:rPr>
            </w:pPr>
          </w:p>
        </w:tc>
        <w:tc>
          <w:tcPr>
            <w:tcW w:w="7572" w:type="dxa"/>
            <w:gridSpan w:val="6"/>
            <w:tcBorders>
              <w:top w:val="single" w:color="000000" w:sz="4" w:space="0"/>
              <w:left w:val="single" w:color="000000" w:sz="4" w:space="0"/>
              <w:bottom w:val="single" w:color="000000" w:sz="8" w:space="0"/>
              <w:right w:val="single" w:color="000000" w:sz="4" w:space="0"/>
            </w:tcBorders>
            <w:vAlign w:val="center"/>
          </w:tcPr>
          <w:p>
            <w:pPr>
              <w:jc w:val="center"/>
              <w:rPr>
                <w:rFonts w:ascii="Arial Narrow" w:hAnsi="Arial Narrow" w:eastAsia="Arial Narrow" w:cs="Arial Narrow"/>
                <w:color w:val="000000"/>
                <w:sz w:val="20"/>
              </w:rPr>
            </w:pPr>
          </w:p>
        </w:tc>
      </w:tr>
    </w:tbl>
    <w:p>
      <w:pPr>
        <w:pStyle w:val="36"/>
        <w:adjustRightInd/>
        <w:spacing w:line="580" w:lineRule="exact"/>
      </w:pPr>
    </w:p>
    <w:p>
      <w:pPr>
        <w:pStyle w:val="36"/>
        <w:adjustRightInd/>
        <w:spacing w:line="580" w:lineRule="exact"/>
      </w:pPr>
    </w:p>
    <w:p>
      <w:pPr>
        <w:pStyle w:val="36"/>
        <w:adjustRightInd/>
        <w:spacing w:line="580" w:lineRule="exact"/>
      </w:pPr>
    </w:p>
    <w:p>
      <w:pPr>
        <w:pStyle w:val="36"/>
        <w:adjustRightInd/>
        <w:spacing w:line="580" w:lineRule="exact"/>
      </w:pPr>
    </w:p>
    <w:p>
      <w:pPr>
        <w:pStyle w:val="36"/>
        <w:adjustRightInd/>
        <w:spacing w:line="580" w:lineRule="exact"/>
      </w:pPr>
    </w:p>
    <w:p>
      <w:pPr>
        <w:pStyle w:val="36"/>
        <w:adjustRightInd/>
        <w:spacing w:line="580" w:lineRule="exact"/>
      </w:pPr>
    </w:p>
    <w:p>
      <w:pPr>
        <w:pStyle w:val="36"/>
        <w:adjustRightInd/>
        <w:spacing w:line="580" w:lineRule="exact"/>
      </w:pPr>
    </w:p>
    <w:p>
      <w:pPr>
        <w:pStyle w:val="36"/>
        <w:adjustRightInd/>
        <w:spacing w:line="580" w:lineRule="exact"/>
      </w:pPr>
    </w:p>
    <w:sectPr>
      <w:type w:val="continuous"/>
      <w:pgSz w:w="15840" w:h="12240" w:orient="landscape"/>
      <w:pgMar w:top="1797" w:right="1440" w:bottom="1797"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7EB8C"/>
    <w:multiLevelType w:val="singleLevel"/>
    <w:tmpl w:val="0187EB8C"/>
    <w:lvl w:ilvl="0" w:tentative="0">
      <w:start w:val="1"/>
      <w:numFmt w:val="chineseCounting"/>
      <w:suff w:val="nothing"/>
      <w:lvlText w:val="%1、"/>
      <w:lvlJc w:val="left"/>
      <w:pPr>
        <w:ind w:left="68"/>
      </w:pPr>
      <w:rPr>
        <w:rFonts w:hint="eastAsia"/>
      </w:rPr>
    </w:lvl>
  </w:abstractNum>
  <w:abstractNum w:abstractNumId="1">
    <w:nsid w:val="01FBBA8B"/>
    <w:multiLevelType w:val="singleLevel"/>
    <w:tmpl w:val="01FBBA8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E46CEE"/>
    <w:rsid w:val="00005E64"/>
    <w:rsid w:val="00013D22"/>
    <w:rsid w:val="0006287B"/>
    <w:rsid w:val="00065297"/>
    <w:rsid w:val="00083B68"/>
    <w:rsid w:val="00084FC9"/>
    <w:rsid w:val="0009552F"/>
    <w:rsid w:val="000A338A"/>
    <w:rsid w:val="000A3932"/>
    <w:rsid w:val="000A6A75"/>
    <w:rsid w:val="000C33DE"/>
    <w:rsid w:val="000E6B46"/>
    <w:rsid w:val="00125ACA"/>
    <w:rsid w:val="00136786"/>
    <w:rsid w:val="00137323"/>
    <w:rsid w:val="0014694C"/>
    <w:rsid w:val="00177471"/>
    <w:rsid w:val="001850AE"/>
    <w:rsid w:val="00185962"/>
    <w:rsid w:val="00190598"/>
    <w:rsid w:val="001C20E5"/>
    <w:rsid w:val="001C7BF2"/>
    <w:rsid w:val="00206CA1"/>
    <w:rsid w:val="00210E1E"/>
    <w:rsid w:val="0028614D"/>
    <w:rsid w:val="00286594"/>
    <w:rsid w:val="00286EF4"/>
    <w:rsid w:val="002A1E6B"/>
    <w:rsid w:val="002B2949"/>
    <w:rsid w:val="002C4BBC"/>
    <w:rsid w:val="002D6884"/>
    <w:rsid w:val="002F3ACF"/>
    <w:rsid w:val="002F3FD9"/>
    <w:rsid w:val="00315010"/>
    <w:rsid w:val="003217E4"/>
    <w:rsid w:val="00336384"/>
    <w:rsid w:val="00340368"/>
    <w:rsid w:val="003568D5"/>
    <w:rsid w:val="00380369"/>
    <w:rsid w:val="003840AD"/>
    <w:rsid w:val="00384C67"/>
    <w:rsid w:val="003A66D1"/>
    <w:rsid w:val="003B632B"/>
    <w:rsid w:val="003C6BF1"/>
    <w:rsid w:val="0042514E"/>
    <w:rsid w:val="00432425"/>
    <w:rsid w:val="00440339"/>
    <w:rsid w:val="00442A0D"/>
    <w:rsid w:val="0045447A"/>
    <w:rsid w:val="004652DD"/>
    <w:rsid w:val="004673A7"/>
    <w:rsid w:val="004728B6"/>
    <w:rsid w:val="00476B4B"/>
    <w:rsid w:val="004778E9"/>
    <w:rsid w:val="00481ABD"/>
    <w:rsid w:val="00482011"/>
    <w:rsid w:val="0049139B"/>
    <w:rsid w:val="00491DD5"/>
    <w:rsid w:val="0049322A"/>
    <w:rsid w:val="004A1974"/>
    <w:rsid w:val="004A3082"/>
    <w:rsid w:val="004D5C0F"/>
    <w:rsid w:val="00501B0A"/>
    <w:rsid w:val="005055CF"/>
    <w:rsid w:val="00505975"/>
    <w:rsid w:val="00506D31"/>
    <w:rsid w:val="00513524"/>
    <w:rsid w:val="0051651D"/>
    <w:rsid w:val="00525D9B"/>
    <w:rsid w:val="00533416"/>
    <w:rsid w:val="00534A77"/>
    <w:rsid w:val="00542BC9"/>
    <w:rsid w:val="00573DF4"/>
    <w:rsid w:val="005A2D4B"/>
    <w:rsid w:val="005D622E"/>
    <w:rsid w:val="005E3D44"/>
    <w:rsid w:val="005E47DC"/>
    <w:rsid w:val="00602D44"/>
    <w:rsid w:val="00603CBD"/>
    <w:rsid w:val="00626152"/>
    <w:rsid w:val="00626E76"/>
    <w:rsid w:val="00656B07"/>
    <w:rsid w:val="006C0CF4"/>
    <w:rsid w:val="006C31AE"/>
    <w:rsid w:val="006C3881"/>
    <w:rsid w:val="006F35F9"/>
    <w:rsid w:val="006F4013"/>
    <w:rsid w:val="006F4651"/>
    <w:rsid w:val="00725B30"/>
    <w:rsid w:val="007358C2"/>
    <w:rsid w:val="0076303F"/>
    <w:rsid w:val="00782116"/>
    <w:rsid w:val="0079530D"/>
    <w:rsid w:val="007A26DE"/>
    <w:rsid w:val="007A4478"/>
    <w:rsid w:val="007A4E6F"/>
    <w:rsid w:val="007C7BBE"/>
    <w:rsid w:val="007C7BEC"/>
    <w:rsid w:val="00802B33"/>
    <w:rsid w:val="008201B9"/>
    <w:rsid w:val="00826E7B"/>
    <w:rsid w:val="008307EE"/>
    <w:rsid w:val="0086743E"/>
    <w:rsid w:val="0087160C"/>
    <w:rsid w:val="00887ACA"/>
    <w:rsid w:val="008A3837"/>
    <w:rsid w:val="008B1AE5"/>
    <w:rsid w:val="008C30AA"/>
    <w:rsid w:val="008C36C0"/>
    <w:rsid w:val="008C4A47"/>
    <w:rsid w:val="008C568C"/>
    <w:rsid w:val="008C7F58"/>
    <w:rsid w:val="008D3DB8"/>
    <w:rsid w:val="008D4EC4"/>
    <w:rsid w:val="008E6AA5"/>
    <w:rsid w:val="009208D7"/>
    <w:rsid w:val="00923C64"/>
    <w:rsid w:val="009332C2"/>
    <w:rsid w:val="00933F61"/>
    <w:rsid w:val="009431C9"/>
    <w:rsid w:val="00966BEF"/>
    <w:rsid w:val="009757E1"/>
    <w:rsid w:val="00982F6B"/>
    <w:rsid w:val="009910D1"/>
    <w:rsid w:val="009A5B54"/>
    <w:rsid w:val="009C6B2F"/>
    <w:rsid w:val="009D3B9C"/>
    <w:rsid w:val="009D4300"/>
    <w:rsid w:val="009D5456"/>
    <w:rsid w:val="009D6196"/>
    <w:rsid w:val="00A27BFE"/>
    <w:rsid w:val="00A30E8D"/>
    <w:rsid w:val="00A52C62"/>
    <w:rsid w:val="00A56B0B"/>
    <w:rsid w:val="00A82A50"/>
    <w:rsid w:val="00A90999"/>
    <w:rsid w:val="00AA6B0C"/>
    <w:rsid w:val="00AA7C7B"/>
    <w:rsid w:val="00AC08D1"/>
    <w:rsid w:val="00AC3EF9"/>
    <w:rsid w:val="00AC5722"/>
    <w:rsid w:val="00AD4129"/>
    <w:rsid w:val="00AD7DD3"/>
    <w:rsid w:val="00B00B4A"/>
    <w:rsid w:val="00B236B8"/>
    <w:rsid w:val="00B27A23"/>
    <w:rsid w:val="00B310A8"/>
    <w:rsid w:val="00B620AB"/>
    <w:rsid w:val="00B66E4A"/>
    <w:rsid w:val="00B7679E"/>
    <w:rsid w:val="00BB15CB"/>
    <w:rsid w:val="00BB588E"/>
    <w:rsid w:val="00BD4770"/>
    <w:rsid w:val="00BD6468"/>
    <w:rsid w:val="00BE76E5"/>
    <w:rsid w:val="00C42ED7"/>
    <w:rsid w:val="00C4613B"/>
    <w:rsid w:val="00C6273E"/>
    <w:rsid w:val="00C652A9"/>
    <w:rsid w:val="00C74CE7"/>
    <w:rsid w:val="00C92355"/>
    <w:rsid w:val="00CA49A4"/>
    <w:rsid w:val="00CE5611"/>
    <w:rsid w:val="00CF0F48"/>
    <w:rsid w:val="00D03357"/>
    <w:rsid w:val="00D10584"/>
    <w:rsid w:val="00D1370F"/>
    <w:rsid w:val="00D15984"/>
    <w:rsid w:val="00D15ECF"/>
    <w:rsid w:val="00D17E86"/>
    <w:rsid w:val="00D2790F"/>
    <w:rsid w:val="00D31C9F"/>
    <w:rsid w:val="00D32ADC"/>
    <w:rsid w:val="00D81D62"/>
    <w:rsid w:val="00DA186D"/>
    <w:rsid w:val="00DB02F1"/>
    <w:rsid w:val="00DB7E1D"/>
    <w:rsid w:val="00DE0ECF"/>
    <w:rsid w:val="00DF210D"/>
    <w:rsid w:val="00E004A9"/>
    <w:rsid w:val="00E03C9E"/>
    <w:rsid w:val="00E46CEE"/>
    <w:rsid w:val="00E55A29"/>
    <w:rsid w:val="00E614CA"/>
    <w:rsid w:val="00EC29BD"/>
    <w:rsid w:val="00ED16EE"/>
    <w:rsid w:val="00ED2080"/>
    <w:rsid w:val="00EE3F60"/>
    <w:rsid w:val="00EF1730"/>
    <w:rsid w:val="00EF6790"/>
    <w:rsid w:val="00EF706E"/>
    <w:rsid w:val="00F20B12"/>
    <w:rsid w:val="00F40D03"/>
    <w:rsid w:val="00F53BA9"/>
    <w:rsid w:val="00F56C5C"/>
    <w:rsid w:val="00F56DD0"/>
    <w:rsid w:val="00F60173"/>
    <w:rsid w:val="00F60AC9"/>
    <w:rsid w:val="00F744AF"/>
    <w:rsid w:val="00F967C8"/>
    <w:rsid w:val="00FA45E6"/>
    <w:rsid w:val="00FC0C25"/>
    <w:rsid w:val="00FC5888"/>
    <w:rsid w:val="00FE6B2A"/>
    <w:rsid w:val="01007781"/>
    <w:rsid w:val="01EA3591"/>
    <w:rsid w:val="020967F0"/>
    <w:rsid w:val="02E206B3"/>
    <w:rsid w:val="037B26EA"/>
    <w:rsid w:val="04075C0E"/>
    <w:rsid w:val="04241117"/>
    <w:rsid w:val="04CA3056"/>
    <w:rsid w:val="07140111"/>
    <w:rsid w:val="073065CD"/>
    <w:rsid w:val="07577D1C"/>
    <w:rsid w:val="07733FFE"/>
    <w:rsid w:val="077C6CA3"/>
    <w:rsid w:val="078D504C"/>
    <w:rsid w:val="07E06245"/>
    <w:rsid w:val="080368D8"/>
    <w:rsid w:val="0A380820"/>
    <w:rsid w:val="0A4800D1"/>
    <w:rsid w:val="0A884537"/>
    <w:rsid w:val="0B082D49"/>
    <w:rsid w:val="0B4C599F"/>
    <w:rsid w:val="0C4072B2"/>
    <w:rsid w:val="0C5503BA"/>
    <w:rsid w:val="0C776A4C"/>
    <w:rsid w:val="0CC04897"/>
    <w:rsid w:val="0CDA43F6"/>
    <w:rsid w:val="0CED3466"/>
    <w:rsid w:val="0D980665"/>
    <w:rsid w:val="0F7A01BD"/>
    <w:rsid w:val="102E1B18"/>
    <w:rsid w:val="10E97319"/>
    <w:rsid w:val="11A007F3"/>
    <w:rsid w:val="12062D4C"/>
    <w:rsid w:val="12B533EA"/>
    <w:rsid w:val="13185C15"/>
    <w:rsid w:val="13CD6ED0"/>
    <w:rsid w:val="145E56A4"/>
    <w:rsid w:val="148B7538"/>
    <w:rsid w:val="14B053C3"/>
    <w:rsid w:val="14BE16BC"/>
    <w:rsid w:val="152A64B8"/>
    <w:rsid w:val="16B32D77"/>
    <w:rsid w:val="17345784"/>
    <w:rsid w:val="179B2941"/>
    <w:rsid w:val="17B9260F"/>
    <w:rsid w:val="17F50920"/>
    <w:rsid w:val="18420856"/>
    <w:rsid w:val="1911005A"/>
    <w:rsid w:val="19436634"/>
    <w:rsid w:val="197043E0"/>
    <w:rsid w:val="1A2E2E40"/>
    <w:rsid w:val="1A5328A6"/>
    <w:rsid w:val="1A554870"/>
    <w:rsid w:val="1A861BC0"/>
    <w:rsid w:val="1AD0039B"/>
    <w:rsid w:val="1AEF5A10"/>
    <w:rsid w:val="1AF40C41"/>
    <w:rsid w:val="1CB006EC"/>
    <w:rsid w:val="1CB44094"/>
    <w:rsid w:val="1CE912A0"/>
    <w:rsid w:val="1DB93368"/>
    <w:rsid w:val="1DC31AF1"/>
    <w:rsid w:val="1DD410B4"/>
    <w:rsid w:val="1E2D5F4A"/>
    <w:rsid w:val="1EDD073D"/>
    <w:rsid w:val="200563F1"/>
    <w:rsid w:val="20A70EE5"/>
    <w:rsid w:val="21607CB9"/>
    <w:rsid w:val="21CD1190"/>
    <w:rsid w:val="227C512E"/>
    <w:rsid w:val="2374561D"/>
    <w:rsid w:val="244E2E08"/>
    <w:rsid w:val="246E1396"/>
    <w:rsid w:val="249E5066"/>
    <w:rsid w:val="24A759DB"/>
    <w:rsid w:val="24D40AD8"/>
    <w:rsid w:val="24F40A81"/>
    <w:rsid w:val="25B0408F"/>
    <w:rsid w:val="25C45D8F"/>
    <w:rsid w:val="26386AC0"/>
    <w:rsid w:val="26B730FC"/>
    <w:rsid w:val="28675B1B"/>
    <w:rsid w:val="28E51AB3"/>
    <w:rsid w:val="29597222"/>
    <w:rsid w:val="29B669AE"/>
    <w:rsid w:val="2A53244F"/>
    <w:rsid w:val="2A7660C9"/>
    <w:rsid w:val="2B6761B2"/>
    <w:rsid w:val="2C4B4A59"/>
    <w:rsid w:val="2D641C5B"/>
    <w:rsid w:val="2DCD2AB1"/>
    <w:rsid w:val="2E174BDB"/>
    <w:rsid w:val="2E3A6B55"/>
    <w:rsid w:val="2E5E3A03"/>
    <w:rsid w:val="2EEC23F1"/>
    <w:rsid w:val="2EF15D2F"/>
    <w:rsid w:val="2F212B1B"/>
    <w:rsid w:val="2F234D5B"/>
    <w:rsid w:val="2FE2092A"/>
    <w:rsid w:val="300D65D7"/>
    <w:rsid w:val="31197F4E"/>
    <w:rsid w:val="320D437C"/>
    <w:rsid w:val="32454D73"/>
    <w:rsid w:val="327B2543"/>
    <w:rsid w:val="32957AA8"/>
    <w:rsid w:val="33092244"/>
    <w:rsid w:val="334E31E8"/>
    <w:rsid w:val="336D115E"/>
    <w:rsid w:val="33C1786A"/>
    <w:rsid w:val="33C41805"/>
    <w:rsid w:val="341A3419"/>
    <w:rsid w:val="34761214"/>
    <w:rsid w:val="35012DEC"/>
    <w:rsid w:val="358A766C"/>
    <w:rsid w:val="35A5752A"/>
    <w:rsid w:val="36883480"/>
    <w:rsid w:val="36F86858"/>
    <w:rsid w:val="372F60EF"/>
    <w:rsid w:val="381F22CA"/>
    <w:rsid w:val="386F4851"/>
    <w:rsid w:val="396803DC"/>
    <w:rsid w:val="39F5707E"/>
    <w:rsid w:val="3A214C79"/>
    <w:rsid w:val="3A71413D"/>
    <w:rsid w:val="3AC53317"/>
    <w:rsid w:val="3AF71812"/>
    <w:rsid w:val="3B6444BC"/>
    <w:rsid w:val="3C073099"/>
    <w:rsid w:val="3C1A7270"/>
    <w:rsid w:val="3C2C650C"/>
    <w:rsid w:val="3CA10CD0"/>
    <w:rsid w:val="3CDD0683"/>
    <w:rsid w:val="3D1B504E"/>
    <w:rsid w:val="3D2237B4"/>
    <w:rsid w:val="3D307460"/>
    <w:rsid w:val="3D333715"/>
    <w:rsid w:val="3DB47ED9"/>
    <w:rsid w:val="3DF07218"/>
    <w:rsid w:val="3E5A3954"/>
    <w:rsid w:val="3ECB5788"/>
    <w:rsid w:val="3EE20121"/>
    <w:rsid w:val="3F1735F3"/>
    <w:rsid w:val="3F5B47DB"/>
    <w:rsid w:val="3FF1682D"/>
    <w:rsid w:val="406516F3"/>
    <w:rsid w:val="40DB5220"/>
    <w:rsid w:val="4230334A"/>
    <w:rsid w:val="43087E22"/>
    <w:rsid w:val="43152AA4"/>
    <w:rsid w:val="442347E8"/>
    <w:rsid w:val="449C0EE5"/>
    <w:rsid w:val="44A141F9"/>
    <w:rsid w:val="45006060"/>
    <w:rsid w:val="45863281"/>
    <w:rsid w:val="45EC2C3E"/>
    <w:rsid w:val="46D85967"/>
    <w:rsid w:val="46EB5B82"/>
    <w:rsid w:val="471724DF"/>
    <w:rsid w:val="48311BC9"/>
    <w:rsid w:val="48350AFB"/>
    <w:rsid w:val="489932CB"/>
    <w:rsid w:val="48CE11C6"/>
    <w:rsid w:val="48EF012C"/>
    <w:rsid w:val="493D634C"/>
    <w:rsid w:val="49492F43"/>
    <w:rsid w:val="49966283"/>
    <w:rsid w:val="49B272F8"/>
    <w:rsid w:val="4A8649A1"/>
    <w:rsid w:val="4AAE12AF"/>
    <w:rsid w:val="4AC92ABC"/>
    <w:rsid w:val="4B4A7D1A"/>
    <w:rsid w:val="4B897627"/>
    <w:rsid w:val="4BC93EC7"/>
    <w:rsid w:val="4BD016F9"/>
    <w:rsid w:val="4BE64509"/>
    <w:rsid w:val="4CFD1C7A"/>
    <w:rsid w:val="4E231FB4"/>
    <w:rsid w:val="4E2E3285"/>
    <w:rsid w:val="4E5008D0"/>
    <w:rsid w:val="4F585C8E"/>
    <w:rsid w:val="4FB629B4"/>
    <w:rsid w:val="50175B49"/>
    <w:rsid w:val="50DD6DAD"/>
    <w:rsid w:val="50F13BDF"/>
    <w:rsid w:val="516721B8"/>
    <w:rsid w:val="5196243B"/>
    <w:rsid w:val="51CE7674"/>
    <w:rsid w:val="51DB6702"/>
    <w:rsid w:val="523537D5"/>
    <w:rsid w:val="52500E9E"/>
    <w:rsid w:val="52614E59"/>
    <w:rsid w:val="529E3361"/>
    <w:rsid w:val="52B24025"/>
    <w:rsid w:val="53207E00"/>
    <w:rsid w:val="53C1185F"/>
    <w:rsid w:val="53D0673A"/>
    <w:rsid w:val="541A58D2"/>
    <w:rsid w:val="54204110"/>
    <w:rsid w:val="5452714F"/>
    <w:rsid w:val="545311AD"/>
    <w:rsid w:val="54A63196"/>
    <w:rsid w:val="54A77BF3"/>
    <w:rsid w:val="55A35789"/>
    <w:rsid w:val="55E22755"/>
    <w:rsid w:val="56085394"/>
    <w:rsid w:val="566B4700"/>
    <w:rsid w:val="567621BE"/>
    <w:rsid w:val="57437B4D"/>
    <w:rsid w:val="57521341"/>
    <w:rsid w:val="576553EC"/>
    <w:rsid w:val="576D20E5"/>
    <w:rsid w:val="5775452D"/>
    <w:rsid w:val="57AA7715"/>
    <w:rsid w:val="581169D5"/>
    <w:rsid w:val="586D09FC"/>
    <w:rsid w:val="588040E3"/>
    <w:rsid w:val="588418A2"/>
    <w:rsid w:val="58DC3B2A"/>
    <w:rsid w:val="58E0292C"/>
    <w:rsid w:val="58F50862"/>
    <w:rsid w:val="59253085"/>
    <w:rsid w:val="59A55F73"/>
    <w:rsid w:val="59F61230"/>
    <w:rsid w:val="5A2D0C0D"/>
    <w:rsid w:val="5AD22D98"/>
    <w:rsid w:val="5AE23B6A"/>
    <w:rsid w:val="5B2972CE"/>
    <w:rsid w:val="5BAE0253"/>
    <w:rsid w:val="5C487AAD"/>
    <w:rsid w:val="5C9E3963"/>
    <w:rsid w:val="5CF10A6E"/>
    <w:rsid w:val="5D7719D5"/>
    <w:rsid w:val="5F293763"/>
    <w:rsid w:val="5F4A0050"/>
    <w:rsid w:val="5F8E092A"/>
    <w:rsid w:val="60050962"/>
    <w:rsid w:val="603F4C8A"/>
    <w:rsid w:val="60547BEC"/>
    <w:rsid w:val="607D37A6"/>
    <w:rsid w:val="60CD1047"/>
    <w:rsid w:val="614D13CA"/>
    <w:rsid w:val="6155425E"/>
    <w:rsid w:val="616B10D9"/>
    <w:rsid w:val="62347FA2"/>
    <w:rsid w:val="634475E8"/>
    <w:rsid w:val="636C0536"/>
    <w:rsid w:val="639417D2"/>
    <w:rsid w:val="63E94CAF"/>
    <w:rsid w:val="65765B82"/>
    <w:rsid w:val="662238C9"/>
    <w:rsid w:val="66590095"/>
    <w:rsid w:val="666E4BA8"/>
    <w:rsid w:val="679A2E90"/>
    <w:rsid w:val="67D5139D"/>
    <w:rsid w:val="67D62F1D"/>
    <w:rsid w:val="67FC76A6"/>
    <w:rsid w:val="68C64184"/>
    <w:rsid w:val="69142C94"/>
    <w:rsid w:val="69235801"/>
    <w:rsid w:val="693F458D"/>
    <w:rsid w:val="69AE2C22"/>
    <w:rsid w:val="69F61ED3"/>
    <w:rsid w:val="6AAD12F9"/>
    <w:rsid w:val="6AD374A7"/>
    <w:rsid w:val="6AFE7291"/>
    <w:rsid w:val="6B310626"/>
    <w:rsid w:val="6B7834E8"/>
    <w:rsid w:val="6BC71C1F"/>
    <w:rsid w:val="6C53591A"/>
    <w:rsid w:val="6CE55471"/>
    <w:rsid w:val="6CEE0DAF"/>
    <w:rsid w:val="6D08501A"/>
    <w:rsid w:val="6D5369F3"/>
    <w:rsid w:val="6DAA1953"/>
    <w:rsid w:val="6E3D27C7"/>
    <w:rsid w:val="6EF20265"/>
    <w:rsid w:val="6FAB550E"/>
    <w:rsid w:val="6FAD6F16"/>
    <w:rsid w:val="6FFB6495"/>
    <w:rsid w:val="70480FAF"/>
    <w:rsid w:val="70C607C8"/>
    <w:rsid w:val="70F47057"/>
    <w:rsid w:val="716B017F"/>
    <w:rsid w:val="72613DCA"/>
    <w:rsid w:val="72F336D6"/>
    <w:rsid w:val="735859AD"/>
    <w:rsid w:val="7420710E"/>
    <w:rsid w:val="744F5002"/>
    <w:rsid w:val="750E6C6B"/>
    <w:rsid w:val="751F26AB"/>
    <w:rsid w:val="752244C4"/>
    <w:rsid w:val="754C1A31"/>
    <w:rsid w:val="7597062B"/>
    <w:rsid w:val="75EE54A4"/>
    <w:rsid w:val="76B346EE"/>
    <w:rsid w:val="795A3CFC"/>
    <w:rsid w:val="79651059"/>
    <w:rsid w:val="7A770DD0"/>
    <w:rsid w:val="7ACE2838"/>
    <w:rsid w:val="7ADC07AC"/>
    <w:rsid w:val="7B1F572E"/>
    <w:rsid w:val="7C016BE2"/>
    <w:rsid w:val="7C7A7D8A"/>
    <w:rsid w:val="7C9C7DD5"/>
    <w:rsid w:val="7D050953"/>
    <w:rsid w:val="7D461EA9"/>
    <w:rsid w:val="7E9953F2"/>
    <w:rsid w:val="7EB643A4"/>
    <w:rsid w:val="7F003179"/>
    <w:rsid w:val="7F71407E"/>
    <w:rsid w:val="7FEA4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autoRedefine/>
    <w:qFormat/>
    <w:uiPriority w:val="0"/>
    <w:rPr>
      <w:b/>
      <w:bCs/>
    </w:rPr>
  </w:style>
  <w:style w:type="character" w:styleId="8">
    <w:name w:val="page number"/>
    <w:autoRedefine/>
    <w:qFormat/>
    <w:uiPriority w:val="0"/>
  </w:style>
  <w:style w:type="character" w:styleId="9">
    <w:name w:val="Hyperlink"/>
    <w:autoRedefine/>
    <w:qFormat/>
    <w:uiPriority w:val="0"/>
    <w:rPr>
      <w:color w:val="004276"/>
      <w:u w:val="none"/>
    </w:rPr>
  </w:style>
  <w:style w:type="character" w:styleId="10">
    <w:name w:val="annotation reference"/>
    <w:autoRedefine/>
    <w:qFormat/>
    <w:uiPriority w:val="0"/>
    <w:rPr>
      <w:sz w:val="21"/>
      <w:szCs w:val="21"/>
    </w:rPr>
  </w:style>
  <w:style w:type="character" w:customStyle="1" w:styleId="11">
    <w:name w:val="批注文字 字符"/>
    <w:link w:val="2"/>
    <w:autoRedefine/>
    <w:qFormat/>
    <w:uiPriority w:val="0"/>
    <w:rPr>
      <w:kern w:val="2"/>
      <w:sz w:val="21"/>
    </w:rPr>
  </w:style>
  <w:style w:type="character" w:customStyle="1" w:styleId="12">
    <w:name w:val="批注主题 字符"/>
    <w:link w:val="5"/>
    <w:autoRedefine/>
    <w:qFormat/>
    <w:uiPriority w:val="0"/>
    <w:rPr>
      <w:b/>
      <w:bCs/>
      <w:kern w:val="2"/>
      <w:sz w:val="21"/>
    </w:rPr>
  </w:style>
  <w:style w:type="character" w:customStyle="1" w:styleId="13">
    <w:name w:val="font61"/>
    <w:autoRedefine/>
    <w:qFormat/>
    <w:uiPriority w:val="0"/>
    <w:rPr>
      <w:rFonts w:hint="default" w:ascii="Arial Narrow" w:hAnsi="Arial Narrow" w:eastAsia="Arial Narrow" w:cs="Arial Narrow"/>
      <w:color w:val="000000"/>
      <w:sz w:val="22"/>
      <w:szCs w:val="22"/>
      <w:u w:val="none"/>
    </w:rPr>
  </w:style>
  <w:style w:type="character" w:customStyle="1" w:styleId="14">
    <w:name w:val="font122"/>
    <w:autoRedefine/>
    <w:qFormat/>
    <w:uiPriority w:val="0"/>
    <w:rPr>
      <w:rFonts w:hint="eastAsia" w:ascii="宋体" w:hAnsi="宋体" w:eastAsia="宋体" w:cs="宋体"/>
      <w:b/>
      <w:bCs/>
      <w:color w:val="000000"/>
      <w:sz w:val="20"/>
      <w:szCs w:val="20"/>
      <w:u w:val="none"/>
    </w:rPr>
  </w:style>
  <w:style w:type="character" w:customStyle="1" w:styleId="15">
    <w:name w:val="font112"/>
    <w:autoRedefine/>
    <w:qFormat/>
    <w:uiPriority w:val="0"/>
    <w:rPr>
      <w:rFonts w:hint="eastAsia" w:ascii="宋体" w:hAnsi="宋体" w:eastAsia="宋体" w:cs="宋体"/>
      <w:b/>
      <w:bCs/>
      <w:color w:val="000000"/>
      <w:sz w:val="24"/>
      <w:szCs w:val="24"/>
      <w:u w:val="none"/>
    </w:rPr>
  </w:style>
  <w:style w:type="character" w:customStyle="1" w:styleId="16">
    <w:name w:val="font161"/>
    <w:autoRedefine/>
    <w:qFormat/>
    <w:uiPriority w:val="0"/>
    <w:rPr>
      <w:rFonts w:hint="default" w:ascii="Times New Roman" w:hAnsi="Times New Roman" w:cs="Times New Roman"/>
      <w:color w:val="000000"/>
      <w:sz w:val="22"/>
      <w:szCs w:val="22"/>
      <w:u w:val="none"/>
    </w:rPr>
  </w:style>
  <w:style w:type="character" w:customStyle="1" w:styleId="17">
    <w:name w:val="font81"/>
    <w:autoRedefine/>
    <w:qFormat/>
    <w:uiPriority w:val="0"/>
    <w:rPr>
      <w:rFonts w:hint="default" w:ascii="Arial Narrow" w:hAnsi="Arial Narrow" w:eastAsia="Arial Narrow" w:cs="Arial Narrow"/>
      <w:color w:val="000000"/>
      <w:sz w:val="20"/>
      <w:szCs w:val="20"/>
      <w:u w:val="none"/>
    </w:rPr>
  </w:style>
  <w:style w:type="character" w:customStyle="1" w:styleId="18">
    <w:name w:val="font141"/>
    <w:autoRedefine/>
    <w:qFormat/>
    <w:uiPriority w:val="0"/>
    <w:rPr>
      <w:rFonts w:hint="eastAsia" w:ascii="宋体" w:hAnsi="宋体" w:eastAsia="宋体" w:cs="宋体"/>
      <w:b/>
      <w:bCs/>
      <w:color w:val="000000"/>
      <w:sz w:val="22"/>
      <w:szCs w:val="22"/>
      <w:u w:val="none"/>
    </w:rPr>
  </w:style>
  <w:style w:type="character" w:customStyle="1" w:styleId="19">
    <w:name w:val="font132"/>
    <w:autoRedefine/>
    <w:qFormat/>
    <w:uiPriority w:val="0"/>
    <w:rPr>
      <w:rFonts w:hint="eastAsia" w:ascii="宋体" w:hAnsi="宋体" w:eastAsia="宋体" w:cs="宋体"/>
      <w:color w:val="000000"/>
      <w:sz w:val="22"/>
      <w:szCs w:val="22"/>
      <w:u w:val="none"/>
    </w:rPr>
  </w:style>
  <w:style w:type="character" w:customStyle="1" w:styleId="20">
    <w:name w:val="font111"/>
    <w:autoRedefine/>
    <w:qFormat/>
    <w:uiPriority w:val="0"/>
    <w:rPr>
      <w:rFonts w:hint="default" w:ascii="Arial Narrow" w:hAnsi="Arial Narrow" w:eastAsia="Arial Narrow" w:cs="Arial Narrow"/>
      <w:color w:val="000000"/>
      <w:sz w:val="20"/>
      <w:szCs w:val="20"/>
      <w:u w:val="none"/>
    </w:rPr>
  </w:style>
  <w:style w:type="character" w:customStyle="1" w:styleId="21">
    <w:name w:val="font11"/>
    <w:autoRedefine/>
    <w:qFormat/>
    <w:uiPriority w:val="0"/>
    <w:rPr>
      <w:rFonts w:hint="eastAsia" w:ascii="宋体" w:hAnsi="宋体" w:eastAsia="宋体" w:cs="宋体"/>
      <w:color w:val="000000"/>
      <w:sz w:val="22"/>
      <w:szCs w:val="22"/>
      <w:u w:val="none"/>
    </w:rPr>
  </w:style>
  <w:style w:type="character" w:customStyle="1" w:styleId="22">
    <w:name w:val="font101"/>
    <w:autoRedefine/>
    <w:qFormat/>
    <w:uiPriority w:val="0"/>
    <w:rPr>
      <w:rFonts w:hint="eastAsia" w:ascii="宋体" w:hAnsi="宋体" w:eastAsia="宋体" w:cs="宋体"/>
      <w:b/>
      <w:bCs/>
      <w:color w:val="000000"/>
      <w:sz w:val="20"/>
      <w:szCs w:val="20"/>
      <w:u w:val="none"/>
    </w:rPr>
  </w:style>
  <w:style w:type="character" w:customStyle="1" w:styleId="23">
    <w:name w:val="font91"/>
    <w:autoRedefine/>
    <w:qFormat/>
    <w:uiPriority w:val="0"/>
    <w:rPr>
      <w:rFonts w:hint="default" w:ascii="Arial Narrow" w:hAnsi="Arial Narrow" w:eastAsia="Arial Narrow" w:cs="Arial Narrow"/>
      <w:color w:val="000000"/>
      <w:sz w:val="22"/>
      <w:szCs w:val="22"/>
      <w:u w:val="none"/>
    </w:rPr>
  </w:style>
  <w:style w:type="character" w:customStyle="1" w:styleId="24">
    <w:name w:val="font51"/>
    <w:autoRedefine/>
    <w:qFormat/>
    <w:uiPriority w:val="0"/>
    <w:rPr>
      <w:rFonts w:hint="eastAsia" w:ascii="宋体" w:hAnsi="宋体" w:eastAsia="宋体" w:cs="宋体"/>
      <w:b/>
      <w:bCs/>
      <w:color w:val="000000"/>
      <w:sz w:val="22"/>
      <w:szCs w:val="22"/>
      <w:u w:val="none"/>
    </w:rPr>
  </w:style>
  <w:style w:type="character" w:customStyle="1" w:styleId="25">
    <w:name w:val="批注文字 Char"/>
    <w:autoRedefine/>
    <w:qFormat/>
    <w:uiPriority w:val="0"/>
    <w:rPr>
      <w:color w:val="0000FF"/>
      <w:kern w:val="2"/>
      <w:sz w:val="21"/>
      <w:szCs w:val="21"/>
    </w:rPr>
  </w:style>
  <w:style w:type="character" w:customStyle="1" w:styleId="26">
    <w:name w:val="font151"/>
    <w:autoRedefine/>
    <w:qFormat/>
    <w:uiPriority w:val="0"/>
    <w:rPr>
      <w:rFonts w:hint="eastAsia" w:ascii="宋体" w:hAnsi="宋体" w:eastAsia="宋体" w:cs="宋体"/>
      <w:color w:val="000000"/>
      <w:sz w:val="22"/>
      <w:szCs w:val="22"/>
      <w:u w:val="none"/>
    </w:rPr>
  </w:style>
  <w:style w:type="character" w:customStyle="1" w:styleId="27">
    <w:name w:val="font41"/>
    <w:autoRedefine/>
    <w:qFormat/>
    <w:uiPriority w:val="0"/>
    <w:rPr>
      <w:rFonts w:hint="default" w:ascii="Arial Narrow" w:hAnsi="Arial Narrow" w:eastAsia="Arial Narrow" w:cs="Arial Narrow"/>
      <w:color w:val="000000"/>
      <w:sz w:val="20"/>
      <w:szCs w:val="20"/>
      <w:u w:val="none"/>
    </w:rPr>
  </w:style>
  <w:style w:type="character" w:customStyle="1" w:styleId="28">
    <w:name w:val="font01"/>
    <w:autoRedefine/>
    <w:qFormat/>
    <w:uiPriority w:val="0"/>
    <w:rPr>
      <w:rFonts w:hint="default" w:ascii="Arial Narrow" w:hAnsi="Arial Narrow" w:eastAsia="Arial Narrow" w:cs="Arial Narrow"/>
      <w:color w:val="000000"/>
      <w:sz w:val="22"/>
      <w:szCs w:val="22"/>
      <w:u w:val="none"/>
    </w:rPr>
  </w:style>
  <w:style w:type="character" w:customStyle="1" w:styleId="29">
    <w:name w:val="font31"/>
    <w:autoRedefine/>
    <w:qFormat/>
    <w:uiPriority w:val="0"/>
    <w:rPr>
      <w:rFonts w:hint="default" w:ascii="Arial Narrow" w:hAnsi="Arial Narrow" w:eastAsia="Arial Narrow" w:cs="Arial Narrow"/>
      <w:color w:val="000000"/>
      <w:sz w:val="22"/>
      <w:szCs w:val="22"/>
      <w:u w:val="none"/>
    </w:rPr>
  </w:style>
  <w:style w:type="character" w:customStyle="1" w:styleId="30">
    <w:name w:val="font71"/>
    <w:autoRedefine/>
    <w:qFormat/>
    <w:uiPriority w:val="0"/>
    <w:rPr>
      <w:rFonts w:hint="eastAsia" w:ascii="宋体" w:hAnsi="宋体" w:eastAsia="宋体" w:cs="宋体"/>
      <w:color w:val="000000"/>
      <w:sz w:val="20"/>
      <w:szCs w:val="20"/>
      <w:u w:val="none"/>
    </w:rPr>
  </w:style>
  <w:style w:type="character" w:customStyle="1" w:styleId="31">
    <w:name w:val="font121"/>
    <w:autoRedefine/>
    <w:qFormat/>
    <w:uiPriority w:val="0"/>
    <w:rPr>
      <w:rFonts w:hint="default" w:ascii="Times New Roman" w:hAnsi="Times New Roman" w:cs="Times New Roman"/>
      <w:color w:val="000000"/>
      <w:sz w:val="22"/>
      <w:szCs w:val="22"/>
      <w:u w:val="none"/>
    </w:rPr>
  </w:style>
  <w:style w:type="character" w:customStyle="1" w:styleId="32">
    <w:name w:val="font171"/>
    <w:autoRedefine/>
    <w:qFormat/>
    <w:uiPriority w:val="0"/>
    <w:rPr>
      <w:rFonts w:hint="eastAsia" w:ascii="宋体" w:hAnsi="宋体" w:eastAsia="宋体" w:cs="宋体"/>
      <w:b/>
      <w:bCs/>
      <w:color w:val="000000"/>
      <w:sz w:val="20"/>
      <w:szCs w:val="20"/>
      <w:u w:val="none"/>
    </w:rPr>
  </w:style>
  <w:style w:type="character" w:customStyle="1" w:styleId="33">
    <w:name w:val="font131"/>
    <w:autoRedefine/>
    <w:qFormat/>
    <w:uiPriority w:val="0"/>
    <w:rPr>
      <w:rFonts w:ascii="黑体" w:hAnsi="宋体" w:eastAsia="黑体" w:cs="黑体"/>
      <w:b/>
      <w:bCs/>
      <w:color w:val="000000"/>
      <w:sz w:val="36"/>
      <w:szCs w:val="36"/>
      <w:u w:val="none"/>
    </w:rPr>
  </w:style>
  <w:style w:type="paragraph" w:customStyle="1" w:styleId="34">
    <w:name w:val="审计报告普通样式"/>
    <w:basedOn w:val="1"/>
    <w:autoRedefine/>
    <w:qFormat/>
    <w:uiPriority w:val="0"/>
    <w:pPr>
      <w:spacing w:before="120" w:line="400" w:lineRule="exact"/>
      <w:ind w:firstLine="200" w:firstLineChars="200"/>
    </w:pPr>
    <w:rPr>
      <w:rFonts w:ascii="宋体" w:hAnsi="宋体"/>
      <w:color w:val="0000FF"/>
      <w:szCs w:val="21"/>
    </w:rPr>
  </w:style>
  <w:style w:type="paragraph" w:customStyle="1" w:styleId="35">
    <w:name w:val="_Style 2"/>
    <w:basedOn w:val="1"/>
    <w:autoRedefine/>
    <w:qFormat/>
    <w:uiPriority w:val="0"/>
    <w:pPr>
      <w:snapToGrid w:val="0"/>
    </w:pPr>
    <w:rPr>
      <w:rFonts w:ascii="Arial" w:hAnsi="Arial"/>
      <w:szCs w:val="21"/>
    </w:rPr>
  </w:style>
  <w:style w:type="paragraph" w:customStyle="1" w:styleId="3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7">
    <w:name w:val="Char1 Char Char Char Char Char Char Char Char Char Char Char"/>
    <w:basedOn w:val="1"/>
    <w:autoRedefine/>
    <w:qFormat/>
    <w:uiPriority w:val="0"/>
    <w:pPr>
      <w:pageBreakBefore/>
      <w:tabs>
        <w:tab w:val="left" w:pos="432"/>
      </w:tabs>
      <w:ind w:left="432" w:hanging="432"/>
    </w:pPr>
    <w:rPr>
      <w:rFonts w:ascii="Tahoma" w:hAnsi="Tahoma"/>
      <w:sz w:val="24"/>
    </w:rPr>
  </w:style>
  <w:style w:type="paragraph" w:customStyle="1" w:styleId="38">
    <w:name w:val="Revision"/>
    <w:autoRedefine/>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1302</Words>
  <Characters>7427</Characters>
  <Lines>61</Lines>
  <Paragraphs>17</Paragraphs>
  <TotalTime>52</TotalTime>
  <ScaleCrop>false</ScaleCrop>
  <LinksUpToDate>false</LinksUpToDate>
  <CharactersWithSpaces>8712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2015-01-08T02:26:00Z</dcterms:created>
  <dc:creator>石　岚</dc:creator>
  <cp:lastModifiedBy>WPS_1591103659</cp:lastModifiedBy>
  <cp:lastPrinted>2015-01-09T01:50:00Z</cp:lastPrinted>
  <dcterms:modified xsi:type="dcterms:W3CDTF">2024-04-29T08:48:52Z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27B5F92D39914B6EA08D380740AC9A19_13</vt:lpwstr>
  </property>
</Properties>
</file>