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pPr>
      <w:r>
        <w:t>证券代码：000875            证券简称：吉电股份              公告编号：202</w:t>
      </w:r>
      <w:r>
        <w:rPr>
          <w:rFonts w:hint="eastAsia"/>
        </w:rPr>
        <w:t>4</w:t>
      </w:r>
      <w:r>
        <w:t>-</w:t>
      </w:r>
      <w:r>
        <w:rPr>
          <w:rFonts w:hint="eastAsia"/>
        </w:rPr>
        <w:t>047</w:t>
      </w:r>
    </w:p>
    <w:p>
      <w:pPr>
        <w:rPr>
          <w:u w:val="single"/>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25400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5pt;margin-top:2pt;height:1.8pt;width:426.6pt;z-index:251659264;mso-width-relative:page;mso-height-relative:page;" filled="f" stroked="t" coordsize="21600,21600" o:gfxdata="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8C40wAAAAYBAAAPAAAAAAAAAAEAIAAAACIAAABkcnMvZG93&#10;bnJldi54bWxQSwECFAAUAAAACACHTuJAjzG2ZwUCAAD5AwAADgAAAAAAAAABACAAAAAiAQAAZHJz&#10;L2Uyb0RvYy54bWxQSwUGAAAAAAYABgBZAQAAmQUAAAAA&#10;">
                <v:fill on="f" focussize="0,0"/>
                <v:stroke weight="4.5pt" color="#FF6600" linestyle="thinThick" joinstyle="round"/>
                <v:imagedata o:title=""/>
                <o:lock v:ext="edit" aspectratio="f"/>
              </v:line>
            </w:pict>
          </mc:Fallback>
        </mc:AlternateContent>
      </w:r>
    </w:p>
    <w:p>
      <w:pPr>
        <w:jc w:val="center"/>
        <w:rPr>
          <w:rFonts w:hint="eastAsia"/>
          <w:b/>
          <w:sz w:val="44"/>
          <w:szCs w:val="44"/>
        </w:rPr>
      </w:pPr>
    </w:p>
    <w:p>
      <w:pPr>
        <w:jc w:val="center"/>
        <w:rPr>
          <w:rFonts w:hint="eastAsia" w:ascii="宋体" w:hAnsi="宋体" w:cs="宋体"/>
          <w:b/>
          <w:bCs/>
          <w:kern w:val="0"/>
          <w:sz w:val="44"/>
          <w:szCs w:val="44"/>
        </w:rPr>
      </w:pPr>
      <w:r>
        <w:rPr>
          <w:rFonts w:hint="eastAsia" w:ascii="宋体" w:hAnsi="宋体" w:cs="宋体"/>
          <w:b/>
          <w:bCs/>
          <w:kern w:val="0"/>
          <w:sz w:val="44"/>
          <w:szCs w:val="44"/>
        </w:rPr>
        <w:t>吉林电力股份有限公司</w:t>
      </w:r>
    </w:p>
    <w:p>
      <w:pPr>
        <w:jc w:val="center"/>
        <w:rPr>
          <w:rFonts w:ascii="宋体" w:hAnsi="宋体" w:cs="宋体"/>
          <w:b/>
          <w:bCs/>
          <w:kern w:val="0"/>
          <w:sz w:val="44"/>
          <w:szCs w:val="44"/>
        </w:rPr>
      </w:pPr>
      <w:r>
        <w:rPr>
          <w:rFonts w:hint="eastAsia" w:ascii="宋体" w:hAnsi="宋体" w:cs="宋体"/>
          <w:b/>
          <w:bCs/>
          <w:kern w:val="0"/>
          <w:sz w:val="44"/>
          <w:szCs w:val="44"/>
        </w:rPr>
        <w:t>股票交易异常波动公告</w:t>
      </w:r>
    </w:p>
    <w:p>
      <w:pPr>
        <w:rPr>
          <w:rFonts w:hint="eastAsia" w:ascii="宋体" w:hAnsi="宋体" w:cs="黑体"/>
          <w:b/>
          <w:bCs/>
          <w:kern w:val="0"/>
          <w:sz w:val="44"/>
          <w:szCs w:val="44"/>
        </w:rPr>
      </w:pPr>
    </w:p>
    <w:p>
      <w:pPr>
        <w:spacing w:line="420" w:lineRule="exact"/>
        <w:ind w:firstLine="562" w:firstLineChars="200"/>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pStyle w:val="18"/>
        <w:numPr>
          <w:ilvl w:val="0"/>
          <w:numId w:val="1"/>
        </w:numPr>
        <w:adjustRightInd/>
        <w:spacing w:line="420" w:lineRule="exact"/>
        <w:ind w:firstLine="700" w:firstLineChars="250"/>
        <w:rPr>
          <w:rFonts w:hint="eastAsia" w:ascii="Times New Roman" w:eastAsia="仿宋_GB2312" w:cs="Times New Roman"/>
          <w:sz w:val="28"/>
          <w:szCs w:val="28"/>
        </w:rPr>
      </w:pPr>
    </w:p>
    <w:p>
      <w:pPr>
        <w:pStyle w:val="18"/>
        <w:numPr>
          <w:ilvl w:val="0"/>
          <w:numId w:val="2"/>
        </w:numPr>
        <w:adjustRightInd/>
        <w:spacing w:line="640" w:lineRule="exact"/>
        <w:ind w:firstLine="562" w:firstLineChars="200"/>
        <w:rPr>
          <w:rFonts w:hint="eastAsia" w:eastAsia="仿宋"/>
          <w:b/>
          <w:bCs/>
          <w:sz w:val="28"/>
          <w:szCs w:val="28"/>
        </w:rPr>
      </w:pPr>
      <w:r>
        <w:rPr>
          <w:rFonts w:hint="eastAsia" w:eastAsia="仿宋"/>
          <w:b/>
          <w:bCs/>
          <w:sz w:val="28"/>
          <w:szCs w:val="28"/>
        </w:rPr>
        <w:t>股票交易异常波动情况</w:t>
      </w:r>
      <w:bookmarkStart w:id="0" w:name="_GoBack"/>
      <w:bookmarkEnd w:id="0"/>
    </w:p>
    <w:p>
      <w:pPr>
        <w:pStyle w:val="18"/>
        <w:adjustRightInd/>
        <w:spacing w:line="640" w:lineRule="exact"/>
        <w:ind w:firstLine="560" w:firstLineChars="200"/>
        <w:rPr>
          <w:rFonts w:hint="eastAsia" w:eastAsia="仿宋"/>
          <w:sz w:val="28"/>
          <w:szCs w:val="28"/>
        </w:rPr>
      </w:pPr>
      <w:r>
        <w:rPr>
          <w:rFonts w:hint="eastAsia" w:eastAsia="仿宋"/>
          <w:sz w:val="28"/>
          <w:szCs w:val="28"/>
        </w:rPr>
        <w:t>吉林电力股份有限公司（以下简称“公司”）（证券简称：吉电股份；证券代码</w:t>
      </w:r>
      <w:r>
        <w:rPr>
          <w:rFonts w:ascii="Times New Roman" w:eastAsia="仿宋" w:cs="Times New Roman"/>
          <w:sz w:val="28"/>
          <w:szCs w:val="28"/>
        </w:rPr>
        <w:t>：000875）股票连续3个交易日（2024年5月24日、5月27日、5月28日）收盘价格</w:t>
      </w:r>
      <w:r>
        <w:rPr>
          <w:rFonts w:hint="eastAsia" w:ascii="Times New Roman" w:eastAsia="仿宋" w:cs="Times New Roman"/>
          <w:sz w:val="28"/>
          <w:szCs w:val="28"/>
        </w:rPr>
        <w:t>涨</w:t>
      </w:r>
      <w:r>
        <w:rPr>
          <w:rFonts w:ascii="Times New Roman" w:eastAsia="仿宋" w:cs="Times New Roman"/>
          <w:sz w:val="28"/>
          <w:szCs w:val="28"/>
        </w:rPr>
        <w:t>幅偏离值累计超过20%，</w:t>
      </w:r>
      <w:r>
        <w:rPr>
          <w:rFonts w:hint="eastAsia" w:eastAsia="仿宋"/>
          <w:sz w:val="28"/>
          <w:szCs w:val="28"/>
        </w:rPr>
        <w:t>根据《深圳证券交易所交易规则》的有关规定，属于股票交易异常波动情形。</w:t>
      </w:r>
    </w:p>
    <w:p>
      <w:pPr>
        <w:pStyle w:val="18"/>
        <w:numPr>
          <w:ilvl w:val="0"/>
          <w:numId w:val="3"/>
        </w:numPr>
        <w:adjustRightInd/>
        <w:spacing w:line="640" w:lineRule="exact"/>
        <w:ind w:firstLine="562" w:firstLineChars="200"/>
        <w:rPr>
          <w:rFonts w:hint="eastAsia" w:eastAsia="仿宋"/>
          <w:b/>
          <w:bCs/>
          <w:sz w:val="28"/>
          <w:szCs w:val="28"/>
        </w:rPr>
      </w:pPr>
      <w:r>
        <w:rPr>
          <w:rFonts w:hint="eastAsia" w:eastAsia="仿宋"/>
          <w:b/>
          <w:bCs/>
          <w:sz w:val="28"/>
          <w:szCs w:val="28"/>
        </w:rPr>
        <w:t>公司关注并核实情况的说明</w:t>
      </w:r>
    </w:p>
    <w:p>
      <w:pPr>
        <w:pStyle w:val="18"/>
        <w:adjustRightInd/>
        <w:spacing w:line="640" w:lineRule="exact"/>
        <w:ind w:right="-178" w:rightChars="-85" w:firstLine="560" w:firstLineChars="200"/>
        <w:rPr>
          <w:rFonts w:hint="eastAsia" w:ascii="仿宋_GB2312" w:eastAsia="仿宋_GB2312"/>
          <w:sz w:val="28"/>
          <w:szCs w:val="28"/>
        </w:rPr>
      </w:pPr>
      <w:r>
        <w:rPr>
          <w:rFonts w:hint="eastAsia" w:ascii="仿宋_GB2312" w:eastAsia="仿宋_GB2312"/>
          <w:sz w:val="28"/>
          <w:szCs w:val="28"/>
        </w:rPr>
        <w:t>经公司董事会调查核实，并与公司管理层、控股股东及实际控制人书面或通讯</w:t>
      </w:r>
      <w:r>
        <w:rPr>
          <w:rFonts w:hint="eastAsia" w:ascii="仿宋_GB2312" w:eastAsia="仿宋_GB2312"/>
          <w:sz w:val="28"/>
          <w:szCs w:val="28"/>
          <w:lang w:eastAsia="zh-CN"/>
        </w:rPr>
        <w:t>问询</w:t>
      </w:r>
      <w:r>
        <w:rPr>
          <w:rFonts w:hint="eastAsia" w:ascii="仿宋_GB2312" w:eastAsia="仿宋_GB2312"/>
          <w:sz w:val="28"/>
          <w:szCs w:val="28"/>
        </w:rPr>
        <w:t>，有关情况如下：</w:t>
      </w:r>
    </w:p>
    <w:p>
      <w:pPr>
        <w:pStyle w:val="18"/>
        <w:numPr>
          <w:ilvl w:val="0"/>
          <w:numId w:val="4"/>
        </w:numPr>
        <w:adjustRightInd/>
        <w:spacing w:line="640" w:lineRule="exact"/>
        <w:ind w:firstLine="560"/>
        <w:rPr>
          <w:rFonts w:ascii="Times New Roman" w:eastAsia="仿宋" w:cs="Times New Roman"/>
          <w:sz w:val="28"/>
          <w:szCs w:val="28"/>
        </w:rPr>
      </w:pPr>
      <w:r>
        <w:rPr>
          <w:rFonts w:hint="eastAsia" w:ascii="Times New Roman" w:eastAsia="仿宋" w:cs="Times New Roman"/>
          <w:sz w:val="28"/>
          <w:szCs w:val="28"/>
        </w:rPr>
        <w:t>截至本公告披露日，公司前期披露的其他信息不存在需要更正、补充之处</w:t>
      </w:r>
      <w:r>
        <w:rPr>
          <w:rFonts w:hint="eastAsia" w:ascii="Times New Roman" w:eastAsia="仿宋" w:cs="Times New Roman"/>
          <w:sz w:val="28"/>
          <w:szCs w:val="28"/>
          <w:lang w:eastAsia="zh-CN"/>
        </w:rPr>
        <w:t>。</w:t>
      </w:r>
    </w:p>
    <w:p>
      <w:pPr>
        <w:pStyle w:val="18"/>
        <w:adjustRightInd/>
        <w:spacing w:line="640" w:lineRule="exact"/>
        <w:ind w:firstLine="420" w:firstLineChars="0"/>
        <w:rPr>
          <w:rFonts w:hint="eastAsia" w:eastAsia="仿宋"/>
          <w:sz w:val="28"/>
          <w:szCs w:val="28"/>
          <w:lang w:eastAsia="zh-CN"/>
        </w:rPr>
      </w:pPr>
      <w:r>
        <w:rPr>
          <w:rFonts w:hint="eastAsia" w:eastAsia="仿宋"/>
          <w:sz w:val="28"/>
          <w:szCs w:val="28"/>
        </w:rPr>
        <w:t>（二）公司未发现近期公共传媒报道了可能或已经对公司股票交易价格产生较大影响的未公开重大信息</w:t>
      </w:r>
      <w:r>
        <w:rPr>
          <w:rFonts w:hint="eastAsia" w:eastAsia="仿宋"/>
          <w:sz w:val="28"/>
          <w:szCs w:val="28"/>
          <w:lang w:eastAsia="zh-CN"/>
        </w:rPr>
        <w:t>。</w:t>
      </w:r>
    </w:p>
    <w:p>
      <w:pPr>
        <w:pStyle w:val="18"/>
        <w:adjustRightInd/>
        <w:spacing w:line="640" w:lineRule="exact"/>
        <w:ind w:firstLine="420" w:firstLineChars="0"/>
        <w:rPr>
          <w:rFonts w:hint="eastAsia" w:eastAsia="仿宋"/>
          <w:sz w:val="28"/>
          <w:szCs w:val="28"/>
          <w:lang w:eastAsia="zh-CN"/>
        </w:rPr>
      </w:pPr>
      <w:r>
        <w:rPr>
          <w:rFonts w:hint="eastAsia" w:eastAsia="仿宋"/>
          <w:sz w:val="28"/>
          <w:szCs w:val="28"/>
        </w:rPr>
        <w:t>（三）公司经营情况正常，内外部经营环境未发生重大变化</w:t>
      </w:r>
      <w:r>
        <w:rPr>
          <w:rFonts w:hint="eastAsia" w:eastAsia="仿宋"/>
          <w:sz w:val="28"/>
          <w:szCs w:val="28"/>
          <w:lang w:eastAsia="zh-CN"/>
        </w:rPr>
        <w:t>。</w:t>
      </w:r>
    </w:p>
    <w:p>
      <w:pPr>
        <w:pStyle w:val="18"/>
        <w:adjustRightInd/>
        <w:spacing w:line="640" w:lineRule="exact"/>
        <w:ind w:firstLine="420" w:firstLineChars="0"/>
        <w:rPr>
          <w:rFonts w:hint="eastAsia" w:eastAsia="仿宋"/>
          <w:sz w:val="28"/>
          <w:szCs w:val="28"/>
        </w:rPr>
      </w:pPr>
      <w:r>
        <w:rPr>
          <w:rFonts w:hint="eastAsia" w:eastAsia="仿宋"/>
          <w:sz w:val="28"/>
          <w:szCs w:val="28"/>
        </w:rPr>
        <w:t>（四）</w:t>
      </w:r>
      <w:r>
        <w:rPr>
          <w:rFonts w:hint="default" w:ascii="Times New Roman" w:hAnsi="Times New Roman" w:eastAsia="仿宋" w:cs="Times New Roman"/>
          <w:sz w:val="28"/>
          <w:szCs w:val="28"/>
        </w:rPr>
        <w:t>2024年4月30日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公司披露了《关于向特定对象发行股票申请获中国证监会同意注册批复的公告》（公告编号：2024-040）</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公司向特定对象发行股票事宜经公司第九届董事会第五次会议、第九届董事会第六次会议、第九届董事会第九次会议、第九</w:t>
      </w:r>
      <w:r>
        <w:rPr>
          <w:rFonts w:hint="eastAsia" w:ascii="Times New Roman" w:eastAsia="仿宋" w:cs="Times New Roman"/>
          <w:sz w:val="28"/>
          <w:szCs w:val="28"/>
        </w:rPr>
        <w:t>届董事会第十二次会议、第九届董事会第十六次会议、2023年第一次临时股东大会、2023年第二次临时股东大会、2023年第五次临时股东大会及2024年第二次临时股东大会审议通过，并已取得中国证监会同意注册的批复</w:t>
      </w:r>
      <w:r>
        <w:rPr>
          <w:rFonts w:hint="eastAsia" w:ascii="Times New Roman" w:eastAsia="仿宋" w:cs="Times New Roman"/>
          <w:sz w:val="28"/>
          <w:szCs w:val="28"/>
          <w:lang w:eastAsia="zh-CN"/>
        </w:rPr>
        <w:t>。</w:t>
      </w:r>
      <w:r>
        <w:rPr>
          <w:rFonts w:hint="eastAsia" w:ascii="Times New Roman" w:eastAsia="仿宋" w:cs="Times New Roman"/>
          <w:sz w:val="28"/>
          <w:szCs w:val="28"/>
        </w:rPr>
        <w:t>公司董事会将根据有关法律法规和批复要求及公司股东大会的授权，在规定期限内办理本次向特定对象发行股票相关事宜，并及时履行信息披露义务</w:t>
      </w:r>
      <w:r>
        <w:rPr>
          <w:rFonts w:hint="eastAsia" w:ascii="Times New Roman" w:eastAsia="仿宋" w:cs="Times New Roman"/>
          <w:sz w:val="28"/>
          <w:szCs w:val="28"/>
          <w:lang w:eastAsia="zh-CN"/>
        </w:rPr>
        <w:t>。</w:t>
      </w:r>
    </w:p>
    <w:p>
      <w:pPr>
        <w:pStyle w:val="18"/>
        <w:adjustRightInd/>
        <w:spacing w:line="640" w:lineRule="exact"/>
        <w:ind w:firstLine="840" w:firstLineChars="300"/>
        <w:rPr>
          <w:rFonts w:hint="eastAsia" w:eastAsia="仿宋"/>
          <w:sz w:val="28"/>
          <w:szCs w:val="28"/>
        </w:rPr>
      </w:pPr>
      <w:r>
        <w:rPr>
          <w:rFonts w:hint="eastAsia" w:eastAsia="仿宋"/>
          <w:sz w:val="28"/>
          <w:szCs w:val="28"/>
        </w:rPr>
        <w:t>经核查，除在证监会指定信息披露媒体上已公开披露的信息外，公司、控股股东和实际控制人不存在应披露而未披露的重大事项，或其他处于筹划阶段的重大事项。</w:t>
      </w:r>
    </w:p>
    <w:p>
      <w:pPr>
        <w:pStyle w:val="18"/>
        <w:adjustRightInd/>
        <w:spacing w:line="640" w:lineRule="exact"/>
        <w:ind w:firstLine="560" w:firstLineChars="200"/>
        <w:rPr>
          <w:rFonts w:hint="eastAsia" w:eastAsia="仿宋"/>
          <w:sz w:val="28"/>
          <w:szCs w:val="28"/>
        </w:rPr>
      </w:pPr>
      <w:r>
        <w:rPr>
          <w:rFonts w:hint="eastAsia" w:eastAsia="仿宋"/>
          <w:sz w:val="28"/>
          <w:szCs w:val="28"/>
        </w:rPr>
        <w:t>（五）经核查，公司控股股东、实际控制人在股票异常波动期间未买卖公司股票。</w:t>
      </w:r>
    </w:p>
    <w:p>
      <w:pPr>
        <w:pStyle w:val="18"/>
        <w:spacing w:line="640" w:lineRule="exact"/>
        <w:ind w:firstLine="560" w:firstLineChars="200"/>
        <w:rPr>
          <w:rFonts w:hint="eastAsia" w:ascii="Times New Roman" w:eastAsia="仿宋" w:cs="Times New Roman"/>
          <w:sz w:val="28"/>
          <w:szCs w:val="28"/>
        </w:rPr>
      </w:pPr>
      <w:r>
        <w:rPr>
          <w:rFonts w:hint="eastAsia" w:eastAsia="仿宋"/>
          <w:sz w:val="28"/>
          <w:szCs w:val="28"/>
        </w:rPr>
        <w:t>（六）公司股价未严重偏离同行业上市公司合理估值。</w:t>
      </w:r>
    </w:p>
    <w:p>
      <w:pPr>
        <w:pStyle w:val="18"/>
        <w:numPr>
          <w:ilvl w:val="0"/>
          <w:numId w:val="3"/>
        </w:numPr>
        <w:adjustRightInd/>
        <w:spacing w:line="640" w:lineRule="exact"/>
        <w:ind w:firstLine="562" w:firstLineChars="200"/>
        <w:rPr>
          <w:rFonts w:eastAsia="仿宋"/>
          <w:b/>
          <w:bCs/>
          <w:sz w:val="28"/>
          <w:szCs w:val="28"/>
        </w:rPr>
      </w:pPr>
      <w:r>
        <w:rPr>
          <w:rFonts w:hint="eastAsia" w:eastAsia="仿宋"/>
          <w:b/>
          <w:bCs/>
          <w:sz w:val="28"/>
          <w:szCs w:val="28"/>
        </w:rPr>
        <w:t>关于公司不存在应披露而未披露信息的说明</w:t>
      </w:r>
    </w:p>
    <w:p>
      <w:pPr>
        <w:pStyle w:val="18"/>
        <w:adjustRightInd/>
        <w:spacing w:line="640" w:lineRule="exact"/>
        <w:ind w:firstLine="560" w:firstLineChars="200"/>
        <w:rPr>
          <w:rFonts w:eastAsia="仿宋"/>
          <w:sz w:val="28"/>
          <w:szCs w:val="28"/>
        </w:rPr>
      </w:pPr>
      <w:r>
        <w:rPr>
          <w:rFonts w:eastAsia="仿宋"/>
          <w:sz w:val="28"/>
          <w:szCs w:val="28"/>
        </w:rPr>
        <w:t>本公司董事会确认，</w:t>
      </w:r>
      <w:r>
        <w:rPr>
          <w:rFonts w:hint="eastAsia" w:eastAsia="仿宋"/>
          <w:sz w:val="28"/>
          <w:szCs w:val="28"/>
        </w:rPr>
        <w:t>除前述事项外，</w:t>
      </w:r>
      <w:r>
        <w:rPr>
          <w:rFonts w:eastAsia="仿宋"/>
          <w:sz w:val="28"/>
          <w:szCs w:val="28"/>
        </w:rPr>
        <w:t>本公司目前没有任何根据</w:t>
      </w:r>
      <w:r>
        <w:rPr>
          <w:rFonts w:hint="eastAsia" w:eastAsia="仿宋"/>
          <w:sz w:val="28"/>
          <w:szCs w:val="28"/>
        </w:rPr>
        <w:t>深圳证券交易所</w:t>
      </w:r>
      <w:r>
        <w:rPr>
          <w:rFonts w:eastAsia="仿宋"/>
          <w:sz w:val="28"/>
          <w:szCs w:val="28"/>
        </w:rPr>
        <w:t>《股票上市规则》规定应予以披露而未披露的事项或与该事项有关的筹划、商谈、意向、协议等；董事会也未获悉本公司有根据</w:t>
      </w:r>
      <w:r>
        <w:rPr>
          <w:rFonts w:hint="eastAsia" w:eastAsia="仿宋"/>
          <w:sz w:val="28"/>
          <w:szCs w:val="28"/>
        </w:rPr>
        <w:t>深圳证券交易所</w:t>
      </w:r>
      <w:r>
        <w:rPr>
          <w:rFonts w:eastAsia="仿宋"/>
          <w:sz w:val="28"/>
          <w:szCs w:val="28"/>
        </w:rPr>
        <w:t>《股票上市规则》的规定应予以披露而未披露的、对本公司股票及其衍生品种交易价格产生较大影响的信息；公司前期披露的信息不存在需要更正、补充之处。</w:t>
      </w:r>
    </w:p>
    <w:p>
      <w:pPr>
        <w:pStyle w:val="18"/>
        <w:numPr>
          <w:ilvl w:val="0"/>
          <w:numId w:val="3"/>
        </w:numPr>
        <w:adjustRightInd/>
        <w:spacing w:line="640" w:lineRule="exact"/>
        <w:ind w:firstLine="562" w:firstLineChars="200"/>
        <w:rPr>
          <w:rFonts w:eastAsia="仿宋"/>
          <w:b/>
          <w:bCs/>
          <w:sz w:val="28"/>
          <w:szCs w:val="28"/>
        </w:rPr>
      </w:pPr>
      <w:r>
        <w:rPr>
          <w:rFonts w:hint="eastAsia" w:eastAsia="仿宋"/>
          <w:b/>
          <w:bCs/>
          <w:sz w:val="28"/>
          <w:szCs w:val="28"/>
        </w:rPr>
        <w:t>风险提示</w:t>
      </w:r>
    </w:p>
    <w:p>
      <w:pPr>
        <w:pStyle w:val="18"/>
        <w:adjustRightInd/>
        <w:spacing w:line="640" w:lineRule="exact"/>
        <w:ind w:firstLine="560" w:firstLineChars="200"/>
        <w:rPr>
          <w:rFonts w:hint="eastAsia" w:eastAsia="仿宋"/>
          <w:sz w:val="28"/>
          <w:szCs w:val="28"/>
        </w:rPr>
      </w:pPr>
      <w:r>
        <w:rPr>
          <w:rFonts w:hint="eastAsia" w:eastAsia="仿宋"/>
          <w:sz w:val="28"/>
          <w:szCs w:val="28"/>
          <w:lang w:eastAsia="zh-CN"/>
        </w:rPr>
        <w:t>（</w:t>
      </w:r>
      <w:r>
        <w:rPr>
          <w:rFonts w:hint="eastAsia" w:eastAsia="仿宋"/>
          <w:sz w:val="28"/>
          <w:szCs w:val="28"/>
          <w:lang w:val="en-US" w:eastAsia="zh-CN"/>
        </w:rPr>
        <w:t>一</w:t>
      </w:r>
      <w:r>
        <w:rPr>
          <w:rFonts w:hint="eastAsia" w:eastAsia="仿宋"/>
          <w:sz w:val="28"/>
          <w:szCs w:val="28"/>
          <w:lang w:eastAsia="zh-CN"/>
        </w:rPr>
        <w:t>）</w:t>
      </w:r>
      <w:r>
        <w:rPr>
          <w:rFonts w:hint="eastAsia" w:eastAsia="仿宋"/>
          <w:sz w:val="28"/>
          <w:szCs w:val="28"/>
          <w:lang w:val="en-US" w:eastAsia="zh-CN"/>
        </w:rPr>
        <w:t>经自查，</w:t>
      </w:r>
      <w:r>
        <w:rPr>
          <w:rFonts w:hint="eastAsia" w:eastAsia="仿宋"/>
          <w:sz w:val="28"/>
          <w:szCs w:val="28"/>
        </w:rPr>
        <w:t>公司不存在违反公平信息披露规定的情形。</w:t>
      </w:r>
    </w:p>
    <w:p>
      <w:pPr>
        <w:pStyle w:val="18"/>
        <w:numPr>
          <w:ilvl w:val="-1"/>
          <w:numId w:val="0"/>
        </w:numPr>
        <w:adjustRightInd/>
        <w:spacing w:line="640" w:lineRule="exact"/>
        <w:ind w:left="0" w:firstLine="560" w:firstLineChars="200"/>
        <w:rPr>
          <w:rFonts w:ascii="Times New Roman" w:eastAsia="仿宋" w:cs="Times New Roman"/>
          <w:sz w:val="28"/>
          <w:szCs w:val="28"/>
        </w:rPr>
      </w:pPr>
      <w:r>
        <w:rPr>
          <w:rFonts w:hint="eastAsia" w:ascii="Times New Roman" w:eastAsia="仿宋" w:cs="Times New Roman"/>
          <w:sz w:val="28"/>
          <w:szCs w:val="28"/>
          <w:lang w:eastAsia="zh-CN"/>
        </w:rPr>
        <w:t>（</w:t>
      </w:r>
      <w:r>
        <w:rPr>
          <w:rFonts w:hint="eastAsia" w:ascii="Times New Roman" w:eastAsia="仿宋" w:cs="Times New Roman"/>
          <w:sz w:val="28"/>
          <w:szCs w:val="28"/>
          <w:lang w:val="en-US" w:eastAsia="zh-CN"/>
        </w:rPr>
        <w:t>二</w:t>
      </w:r>
      <w:r>
        <w:rPr>
          <w:rFonts w:hint="eastAsia" w:ascii="Times New Roman" w:eastAsia="仿宋" w:cs="Times New Roman"/>
          <w:sz w:val="28"/>
          <w:szCs w:val="28"/>
          <w:lang w:eastAsia="zh-CN"/>
        </w:rPr>
        <w:t>）</w:t>
      </w:r>
      <w:r>
        <w:rPr>
          <w:rFonts w:hint="eastAsia" w:ascii="Times New Roman" w:eastAsia="仿宋" w:cs="Times New Roman"/>
          <w:sz w:val="28"/>
          <w:szCs w:val="28"/>
        </w:rPr>
        <w:t>公司</w:t>
      </w:r>
      <w:r>
        <w:rPr>
          <w:rFonts w:ascii="Times New Roman" w:eastAsia="仿宋" w:cs="Times New Roman"/>
          <w:sz w:val="28"/>
          <w:szCs w:val="28"/>
        </w:rPr>
        <w:t>郑重提醒广大投资者：公司指定信息披露媒体为《中国证券报</w:t>
      </w:r>
      <w:r>
        <w:rPr>
          <w:rFonts w:hint="eastAsia" w:ascii="Times New Roman" w:eastAsia="仿宋" w:cs="Times New Roman"/>
          <w:sz w:val="28"/>
          <w:szCs w:val="28"/>
        </w:rPr>
        <w:t>》《</w:t>
      </w:r>
      <w:r>
        <w:rPr>
          <w:rFonts w:ascii="Times New Roman" w:eastAsia="仿宋" w:cs="Times New Roman"/>
          <w:sz w:val="28"/>
          <w:szCs w:val="28"/>
        </w:rPr>
        <w:t>上海证券报</w:t>
      </w:r>
      <w:r>
        <w:rPr>
          <w:rFonts w:hint="eastAsia" w:ascii="Times New Roman" w:eastAsia="仿宋" w:cs="Times New Roman"/>
          <w:sz w:val="28"/>
          <w:szCs w:val="28"/>
        </w:rPr>
        <w:t>》《</w:t>
      </w:r>
      <w:r>
        <w:rPr>
          <w:rFonts w:ascii="Times New Roman" w:eastAsia="仿宋" w:cs="Times New Roman"/>
          <w:sz w:val="28"/>
          <w:szCs w:val="28"/>
        </w:rPr>
        <w:t>证券时报》和巨潮资讯网（www.cninfo.com.cn），公司所有信息披露均以上述媒体刊登的公告为准，敬请广大投资者理性投资，注意风险。</w:t>
      </w:r>
    </w:p>
    <w:p>
      <w:pPr>
        <w:pStyle w:val="18"/>
        <w:adjustRightInd/>
        <w:spacing w:line="640" w:lineRule="exact"/>
        <w:ind w:firstLine="560" w:firstLineChars="200"/>
        <w:rPr>
          <w:rFonts w:ascii="Times New Roman" w:eastAsia="仿宋" w:cs="Times New Roman"/>
          <w:sz w:val="28"/>
          <w:szCs w:val="28"/>
        </w:rPr>
      </w:pPr>
    </w:p>
    <w:p>
      <w:pPr>
        <w:pStyle w:val="18"/>
        <w:adjustRightInd/>
        <w:spacing w:line="640" w:lineRule="exact"/>
        <w:ind w:firstLine="560" w:firstLineChars="200"/>
        <w:rPr>
          <w:rFonts w:hint="eastAsia" w:ascii="Times New Roman" w:eastAsia="仿宋" w:cs="Times New Roman"/>
          <w:sz w:val="28"/>
          <w:szCs w:val="28"/>
        </w:rPr>
      </w:pPr>
      <w:r>
        <w:rPr>
          <w:rFonts w:ascii="Times New Roman" w:eastAsia="仿宋" w:cs="Times New Roman"/>
          <w:sz w:val="28"/>
          <w:szCs w:val="28"/>
        </w:rPr>
        <w:t>特此公告</w:t>
      </w:r>
      <w:r>
        <w:rPr>
          <w:rFonts w:hint="eastAsia" w:ascii="Times New Roman" w:eastAsia="仿宋" w:cs="Times New Roman"/>
          <w:sz w:val="28"/>
          <w:szCs w:val="28"/>
        </w:rPr>
        <w:t>。</w:t>
      </w:r>
    </w:p>
    <w:p>
      <w:pPr>
        <w:pStyle w:val="18"/>
        <w:adjustRightInd/>
        <w:spacing w:line="640" w:lineRule="exact"/>
        <w:ind w:firstLine="560" w:firstLineChars="200"/>
        <w:rPr>
          <w:rFonts w:hint="eastAsia" w:ascii="Times New Roman" w:eastAsia="仿宋" w:cs="Times New Roman"/>
          <w:sz w:val="28"/>
          <w:szCs w:val="28"/>
        </w:rPr>
      </w:pPr>
    </w:p>
    <w:p>
      <w:pPr>
        <w:pStyle w:val="18"/>
        <w:adjustRightInd/>
        <w:spacing w:line="640" w:lineRule="exact"/>
        <w:ind w:firstLine="560" w:firstLineChars="200"/>
        <w:jc w:val="right"/>
        <w:rPr>
          <w:rFonts w:ascii="Times New Roman" w:eastAsia="仿宋" w:cs="Times New Roman"/>
          <w:sz w:val="28"/>
          <w:szCs w:val="28"/>
        </w:rPr>
      </w:pPr>
      <w:r>
        <w:rPr>
          <w:rFonts w:ascii="Times New Roman" w:hAnsi="仿宋" w:eastAsia="仿宋" w:cs="Times New Roman"/>
          <w:sz w:val="28"/>
          <w:szCs w:val="28"/>
        </w:rPr>
        <w:t>吉林电力股份有限公司董事会</w:t>
      </w:r>
    </w:p>
    <w:p>
      <w:pPr>
        <w:pStyle w:val="18"/>
        <w:wordWrap w:val="0"/>
        <w:adjustRightInd/>
        <w:spacing w:line="640" w:lineRule="exact"/>
        <w:ind w:firstLine="560" w:firstLineChars="200"/>
        <w:jc w:val="right"/>
        <w:rPr>
          <w:rFonts w:eastAsia="仿宋"/>
        </w:rPr>
      </w:pPr>
      <w:r>
        <w:rPr>
          <w:rFonts w:ascii="Times New Roman" w:hAnsi="仿宋" w:eastAsia="仿宋" w:cs="Times New Roman"/>
          <w:sz w:val="28"/>
          <w:szCs w:val="28"/>
        </w:rPr>
        <w:t>二</w:t>
      </w:r>
      <w:r>
        <w:rPr>
          <w:rFonts w:hint="eastAsia" w:ascii="Times New Roman" w:eastAsia="仿宋" w:cs="Times New Roman"/>
          <w:sz w:val="28"/>
          <w:szCs w:val="28"/>
        </w:rPr>
        <w:t>〇</w:t>
      </w:r>
      <w:r>
        <w:rPr>
          <w:rFonts w:ascii="Times New Roman" w:hAnsi="仿宋" w:eastAsia="仿宋" w:cs="Times New Roman"/>
          <w:sz w:val="28"/>
          <w:szCs w:val="28"/>
        </w:rPr>
        <w:t>二</w:t>
      </w:r>
      <w:r>
        <w:rPr>
          <w:rFonts w:hint="eastAsia" w:ascii="Times New Roman" w:eastAsia="仿宋" w:cs="Times New Roman"/>
          <w:sz w:val="28"/>
          <w:szCs w:val="28"/>
        </w:rPr>
        <w:t>四</w:t>
      </w:r>
      <w:r>
        <w:rPr>
          <w:rFonts w:ascii="Times New Roman" w:hAnsi="仿宋" w:eastAsia="仿宋" w:cs="Times New Roman"/>
          <w:sz w:val="28"/>
          <w:szCs w:val="28"/>
        </w:rPr>
        <w:t>年</w:t>
      </w:r>
      <w:r>
        <w:rPr>
          <w:rFonts w:hint="eastAsia" w:ascii="Times New Roman" w:hAnsi="仿宋" w:eastAsia="仿宋" w:cs="Times New Roman"/>
          <w:sz w:val="28"/>
          <w:szCs w:val="28"/>
        </w:rPr>
        <w:t>五</w:t>
      </w:r>
      <w:r>
        <w:rPr>
          <w:rFonts w:hint="eastAsia" w:ascii="Times New Roman" w:eastAsia="仿宋" w:cs="Times New Roman"/>
          <w:sz w:val="28"/>
          <w:szCs w:val="28"/>
        </w:rPr>
        <w:t>月二十八</w:t>
      </w:r>
      <w:r>
        <w:rPr>
          <w:rFonts w:ascii="Times New Roman" w:hAnsi="仿宋" w:eastAsia="仿宋" w:cs="Times New Roman"/>
          <w:sz w:val="28"/>
          <w:szCs w:val="28"/>
        </w:rPr>
        <w:t>日</w:t>
      </w:r>
      <w:r>
        <w:rPr>
          <w:rFonts w:hint="eastAsia" w:ascii="Times New Roman" w:hAnsi="仿宋" w:eastAsia="仿宋" w:cs="Times New Roman"/>
          <w:sz w:val="28"/>
          <w:szCs w:val="28"/>
        </w:rPr>
        <w:t xml:space="preserve">  </w:t>
      </w:r>
    </w:p>
    <w:sectPr>
      <w:headerReference r:id="rId3" w:type="default"/>
      <w:footerReference r:id="rId4" w:type="default"/>
      <w:footerReference r:id="rId5"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C2298"/>
    <w:multiLevelType w:val="singleLevel"/>
    <w:tmpl w:val="281C2298"/>
    <w:lvl w:ilvl="0" w:tentative="0">
      <w:start w:val="1"/>
      <w:numFmt w:val="chineseCounting"/>
      <w:suff w:val="space"/>
      <w:lvlText w:val="%1、"/>
      <w:lvlJc w:val="left"/>
      <w:rPr>
        <w:rFonts w:hint="eastAsia"/>
      </w:rPr>
    </w:lvl>
  </w:abstractNum>
  <w:abstractNum w:abstractNumId="1">
    <w:nsid w:val="40424ED3"/>
    <w:multiLevelType w:val="singleLevel"/>
    <w:tmpl w:val="40424ED3"/>
    <w:lvl w:ilvl="0" w:tentative="0">
      <w:start w:val="2"/>
      <w:numFmt w:val="chineseCounting"/>
      <w:suff w:val="nothing"/>
      <w:lvlText w:val="%1、"/>
      <w:lvlJc w:val="left"/>
      <w:rPr>
        <w:rFonts w:hint="eastAsia"/>
      </w:rPr>
    </w:lvl>
  </w:abstractNum>
  <w:abstractNum w:abstractNumId="2">
    <w:nsid w:val="67404688"/>
    <w:multiLevelType w:val="singleLevel"/>
    <w:tmpl w:val="67404688"/>
    <w:lvl w:ilvl="0" w:tentative="0">
      <w:start w:val="1"/>
      <w:numFmt w:val="chineseCounting"/>
      <w:suff w:val="nothing"/>
      <w:lvlText w:val="（%1）"/>
      <w:lvlJc w:val="left"/>
      <w:pPr>
        <w:ind w:left="-140"/>
      </w:pPr>
      <w:rPr>
        <w:rFonts w:hint="eastAsia"/>
      </w:rPr>
    </w:lvl>
  </w:abstractNum>
  <w:abstractNum w:abstractNumId="3">
    <w:nsid w:val="782F283D"/>
    <w:multiLevelType w:val="multilevel"/>
    <w:tmpl w:val="782F283D"/>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704AE9"/>
    <w:rsid w:val="004F381C"/>
    <w:rsid w:val="00595183"/>
    <w:rsid w:val="00704AE9"/>
    <w:rsid w:val="00772AF1"/>
    <w:rsid w:val="00BD081C"/>
    <w:rsid w:val="00F07DBC"/>
    <w:rsid w:val="018C16ED"/>
    <w:rsid w:val="06B65003"/>
    <w:rsid w:val="0ACF0760"/>
    <w:rsid w:val="0E0A547A"/>
    <w:rsid w:val="11AB00D4"/>
    <w:rsid w:val="12525788"/>
    <w:rsid w:val="12C217E4"/>
    <w:rsid w:val="14081241"/>
    <w:rsid w:val="14703191"/>
    <w:rsid w:val="152141F3"/>
    <w:rsid w:val="16A72E12"/>
    <w:rsid w:val="17B62537"/>
    <w:rsid w:val="198B6F2A"/>
    <w:rsid w:val="1AB94A89"/>
    <w:rsid w:val="1BCD46CA"/>
    <w:rsid w:val="1C2602D8"/>
    <w:rsid w:val="1D066B3F"/>
    <w:rsid w:val="1D2B25F1"/>
    <w:rsid w:val="1F4E1517"/>
    <w:rsid w:val="216B7C2E"/>
    <w:rsid w:val="23E64D8E"/>
    <w:rsid w:val="27F36F81"/>
    <w:rsid w:val="283E5361"/>
    <w:rsid w:val="29DF001D"/>
    <w:rsid w:val="2FF33D70"/>
    <w:rsid w:val="3623243A"/>
    <w:rsid w:val="36950DD7"/>
    <w:rsid w:val="38F027D3"/>
    <w:rsid w:val="3D420980"/>
    <w:rsid w:val="3F846D41"/>
    <w:rsid w:val="3FE91AD0"/>
    <w:rsid w:val="404B6A14"/>
    <w:rsid w:val="423556EB"/>
    <w:rsid w:val="44A33659"/>
    <w:rsid w:val="47B543F3"/>
    <w:rsid w:val="480516B4"/>
    <w:rsid w:val="4BB40B47"/>
    <w:rsid w:val="4CB63E4A"/>
    <w:rsid w:val="4CEA77A2"/>
    <w:rsid w:val="4F721954"/>
    <w:rsid w:val="4FD65B10"/>
    <w:rsid w:val="518B2486"/>
    <w:rsid w:val="52FF6601"/>
    <w:rsid w:val="545A3692"/>
    <w:rsid w:val="55A7268A"/>
    <w:rsid w:val="564F17C4"/>
    <w:rsid w:val="5C724780"/>
    <w:rsid w:val="5E2A1218"/>
    <w:rsid w:val="5E7D737A"/>
    <w:rsid w:val="5EBF3801"/>
    <w:rsid w:val="5FB7144E"/>
    <w:rsid w:val="606326E5"/>
    <w:rsid w:val="60B80107"/>
    <w:rsid w:val="61A84A9D"/>
    <w:rsid w:val="62A11F70"/>
    <w:rsid w:val="65865BD3"/>
    <w:rsid w:val="69B43A15"/>
    <w:rsid w:val="6F9E0CF2"/>
    <w:rsid w:val="702218A5"/>
    <w:rsid w:val="77787B84"/>
    <w:rsid w:val="7A4629F1"/>
    <w:rsid w:val="7A847496"/>
    <w:rsid w:val="7AF05257"/>
    <w:rsid w:val="7CC520CE"/>
    <w:rsid w:val="7EB33773"/>
    <w:rsid w:val="7EB42EB1"/>
    <w:rsid w:val="7F4A3B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qFormat/>
    <w:uiPriority w:val="0"/>
    <w:rPr>
      <w:rFonts w:ascii="Calibri" w:hAnsi="Calibri"/>
      <w:szCs w:val="24"/>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next w:val="1"/>
    <w:qFormat/>
    <w:uiPriority w:val="0"/>
    <w:pPr>
      <w:ind w:firstLine="640" w:firstLineChars="200"/>
    </w:pPr>
    <w:rPr>
      <w:sz w:val="32"/>
    </w:rPr>
  </w:style>
  <w:style w:type="paragraph" w:styleId="4">
    <w:name w:val="annotation text"/>
    <w:basedOn w:val="1"/>
    <w:link w:val="13"/>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4"/>
    <w:qFormat/>
    <w:uiPriority w:val="0"/>
    <w:rPr>
      <w:b/>
      <w:bCs/>
    </w:rPr>
  </w:style>
  <w:style w:type="paragraph" w:customStyle="1" w:styleId="10">
    <w:name w:val="_Style 9"/>
    <w:basedOn w:val="1"/>
    <w:link w:val="9"/>
    <w:qFormat/>
    <w:uiPriority w:val="0"/>
    <w:rPr>
      <w:rFonts w:ascii="Calibri" w:hAnsi="Calibri"/>
      <w:szCs w:val="24"/>
    </w:rPr>
  </w:style>
  <w:style w:type="character" w:styleId="11">
    <w:name w:val="page number"/>
    <w:qFormat/>
    <w:uiPriority w:val="0"/>
  </w:style>
  <w:style w:type="character" w:styleId="12">
    <w:name w:val="annotation reference"/>
    <w:qFormat/>
    <w:uiPriority w:val="0"/>
    <w:rPr>
      <w:rFonts w:ascii="Calibri" w:hAnsi="Calibri"/>
      <w:sz w:val="21"/>
      <w:szCs w:val="21"/>
    </w:rPr>
  </w:style>
  <w:style w:type="character" w:customStyle="1" w:styleId="13">
    <w:name w:val="批注文字 字符"/>
    <w:link w:val="4"/>
    <w:qFormat/>
    <w:uiPriority w:val="0"/>
    <w:rPr>
      <w:rFonts w:ascii="Calibri" w:hAnsi="Calibri"/>
      <w:kern w:val="2"/>
      <w:sz w:val="21"/>
      <w:szCs w:val="24"/>
    </w:rPr>
  </w:style>
  <w:style w:type="character" w:customStyle="1" w:styleId="14">
    <w:name w:val="批注主题 字符"/>
    <w:link w:val="7"/>
    <w:qFormat/>
    <w:uiPriority w:val="0"/>
    <w:rPr>
      <w:rFonts w:ascii="Calibri" w:hAnsi="Calibri"/>
      <w:b/>
      <w:bCs/>
      <w:kern w:val="2"/>
      <w:sz w:val="21"/>
      <w:szCs w:val="24"/>
    </w:rPr>
  </w:style>
  <w:style w:type="character" w:customStyle="1" w:styleId="15">
    <w:name w:val="font71"/>
    <w:qFormat/>
    <w:uiPriority w:val="0"/>
    <w:rPr>
      <w:rFonts w:hint="eastAsia" w:ascii="仿宋" w:hAnsi="仿宋" w:eastAsia="仿宋" w:cs="仿宋"/>
      <w:color w:val="000000"/>
      <w:sz w:val="24"/>
      <w:szCs w:val="24"/>
      <w:u w:val="none"/>
    </w:rPr>
  </w:style>
  <w:style w:type="paragraph" w:customStyle="1" w:styleId="16">
    <w:name w:val="BodyTextIndent"/>
    <w:basedOn w:val="1"/>
    <w:next w:val="1"/>
    <w:qFormat/>
    <w:uiPriority w:val="0"/>
    <w:pPr>
      <w:widowControl/>
      <w:ind w:firstLine="720" w:firstLineChars="240"/>
      <w:jc w:val="both"/>
      <w:textAlignment w:val="baseline"/>
    </w:pPr>
    <w:rPr>
      <w:rFonts w:ascii="Times New Roman" w:hAnsi="Times New Roman" w:eastAsia="宋体"/>
      <w:kern w:val="2"/>
      <w:sz w:val="30"/>
      <w:szCs w:val="24"/>
      <w:lang w:val="en-US" w:eastAsia="zh-CN" w:bidi="ar-SA"/>
    </w:rPr>
  </w:style>
  <w:style w:type="paragraph" w:customStyle="1" w:styleId="17">
    <w:name w:val="BodyText1I2"/>
    <w:basedOn w:val="16"/>
    <w:qFormat/>
    <w:uiPriority w:val="0"/>
    <w:pPr>
      <w:widowControl/>
      <w:ind w:firstLine="420" w:firstLineChars="200"/>
      <w:jc w:val="both"/>
      <w:textAlignment w:val="baseline"/>
    </w:p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Table Paragraph"/>
    <w:basedOn w:val="1"/>
    <w:qFormat/>
    <w:uiPriority w:val="0"/>
    <w:pPr>
      <w:spacing w:before="139"/>
      <w:ind w:left="14"/>
      <w:jc w:val="center"/>
    </w:pPr>
    <w:rPr>
      <w:rFonts w:ascii="宋体" w:hAnsi="宋体" w:cs="宋体"/>
      <w:szCs w:val="22"/>
      <w:lang w:val="zh-CN" w:bidi="zh-CN"/>
    </w:rPr>
  </w:style>
  <w:style w:type="paragraph" w:customStyle="1" w:styleId="20">
    <w:name w:val="_Style 19"/>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1106</Words>
  <Characters>1170</Characters>
  <Lines>9</Lines>
  <Paragraphs>2</Paragraphs>
  <TotalTime>2</TotalTime>
  <ScaleCrop>false</ScaleCrop>
  <LinksUpToDate>false</LinksUpToDate>
  <CharactersWithSpaces>1198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2024-05-28T06:30:00Z</dcterms:created>
  <dc:creator>86189</dc:creator>
  <cp:lastModifiedBy>WPS_1591103659</cp:lastModifiedBy>
  <dcterms:modified xsi:type="dcterms:W3CDTF">2024-05-28T09:49:48Z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D1C1B32EB38B49B19F24597D46AFDBCB_13</vt:lpwstr>
  </property>
</Properties>
</file>