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eastAsia="宋体"/>
          <w:lang w:val="en-US" w:eastAsia="zh-CN"/>
        </w:rPr>
      </w:pPr>
      <w:r>
        <w:t>证券代码：000875            证券简称：吉电股份               公告编号：</w:t>
      </w:r>
      <w:r>
        <w:rPr>
          <w:highlight w:val="none"/>
        </w:rPr>
        <w:t>202</w:t>
      </w:r>
      <w:r>
        <w:rPr>
          <w:rFonts w:hint="eastAsia"/>
          <w:highlight w:val="none"/>
        </w:rPr>
        <w:t>4</w:t>
      </w:r>
      <w:r>
        <w:rPr>
          <w:highlight w:val="none"/>
        </w:rPr>
        <w:t>-0</w:t>
      </w:r>
      <w:r>
        <w:rPr>
          <w:rFonts w:hint="eastAsia"/>
          <w:highlight w:val="none"/>
          <w:lang w:val="en-US" w:eastAsia="zh-CN"/>
        </w:rPr>
        <w:t>25</w:t>
      </w:r>
    </w:p>
    <w:p>
      <w:pPr>
        <w:spacing w:line="560" w:lineRule="exact"/>
        <w:rPr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7820" cy="22860"/>
                <wp:effectExtent l="0" t="28575" r="7620" b="400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1.8pt;width:426.6pt;z-index:251659264;mso-width-relative:page;mso-height-relative:page;" filled="f" stroked="t" coordsize="21600,21600" o:gfxdata="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ypLL0wAAAAMBAAAPAAAAAAAAAAEAIAAAACIAAABkcnMvZG93bnJldi54bWxQ&#10;SwECFAAUAAAACACHTuJA3WRigPwBAADtAwAADgAAAAAAAAABACAAAAAiAQAAZHJzL2Uyb0RvYy54&#10;bWxQSwUGAAAAAAYABgBZAQAAkAUAAAAA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吉林电力股份有限公司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</w:rPr>
        <w:t>4</w:t>
      </w:r>
      <w:r>
        <w:rPr>
          <w:b/>
          <w:sz w:val="44"/>
          <w:szCs w:val="44"/>
        </w:rPr>
        <w:t>年度第</w:t>
      </w:r>
      <w:r>
        <w:rPr>
          <w:rFonts w:hint="eastAsia"/>
          <w:b/>
          <w:sz w:val="44"/>
          <w:szCs w:val="44"/>
          <w:lang w:val="en-US" w:eastAsia="zh-CN"/>
        </w:rPr>
        <w:t>二</w:t>
      </w:r>
      <w:r>
        <w:rPr>
          <w:b/>
          <w:sz w:val="44"/>
          <w:szCs w:val="44"/>
        </w:rPr>
        <w:t>期超短期融资券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发行情况</w:t>
      </w:r>
      <w:r>
        <w:rPr>
          <w:rFonts w:hint="eastAsia"/>
          <w:b/>
          <w:sz w:val="44"/>
          <w:szCs w:val="44"/>
        </w:rPr>
        <w:t>的</w:t>
      </w:r>
      <w:r>
        <w:rPr>
          <w:b/>
          <w:sz w:val="44"/>
          <w:szCs w:val="44"/>
        </w:rPr>
        <w:t>公告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firstLine="562" w:firstLineChars="2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本公司及董事会全体成员保证信息披露内容的真实、准确和完整，没有虚假记载、误导性陈述或重大遗漏。</w:t>
      </w:r>
    </w:p>
    <w:p>
      <w:pPr>
        <w:spacing w:line="600" w:lineRule="exact"/>
        <w:ind w:firstLine="562" w:firstLineChars="200"/>
        <w:rPr>
          <w:rFonts w:eastAsia="仿宋"/>
          <w:b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根据中国银行间市场交易商协会核发的《接受注册通知书》（中市协注【2023】SCP22</w:t>
      </w: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hint="eastAsia" w:eastAsia="仿宋"/>
          <w:sz w:val="28"/>
          <w:szCs w:val="28"/>
        </w:rPr>
        <w:t>号），中国银行间市场交易商协会接受吉林电力股份有限公司（以下简称“公司”）发行超短期融资券，注册金额为人民币30亿元，注册额度自通知书落款之日起</w:t>
      </w:r>
      <w:r>
        <w:rPr>
          <w:rFonts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年内有效，在注册有效期内可分期发行。具体内容详见公司</w:t>
      </w:r>
      <w:r>
        <w:rPr>
          <w:rFonts w:eastAsia="仿宋"/>
          <w:sz w:val="28"/>
          <w:szCs w:val="28"/>
        </w:rPr>
        <w:t>202</w:t>
      </w:r>
      <w:r>
        <w:rPr>
          <w:rFonts w:hint="eastAsia" w:eastAsia="仿宋"/>
          <w:sz w:val="28"/>
          <w:szCs w:val="28"/>
        </w:rPr>
        <w:t>3年5月</w:t>
      </w:r>
      <w:r>
        <w:rPr>
          <w:rFonts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5日刊载于巨潮资讯网（www.cninfo.com.cn）、《中国证券报》《上海证券报》及《证券时报》的《关于公司超短期融资券获得注册的公告》（2023-042）。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公司于2024年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hint="eastAsia"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19</w:t>
      </w:r>
      <w:r>
        <w:rPr>
          <w:rFonts w:hint="eastAsia" w:eastAsia="仿宋"/>
          <w:sz w:val="28"/>
          <w:szCs w:val="28"/>
        </w:rPr>
        <w:t>日完成了“吉林电力股份有限公司2024年度第</w:t>
      </w:r>
      <w:r>
        <w:rPr>
          <w:rFonts w:hint="eastAsia" w:eastAsia="仿宋"/>
          <w:sz w:val="28"/>
          <w:szCs w:val="28"/>
          <w:lang w:val="en-US" w:eastAsia="zh-CN"/>
        </w:rPr>
        <w:t>二</w:t>
      </w:r>
      <w:r>
        <w:rPr>
          <w:rFonts w:hint="eastAsia" w:eastAsia="仿宋"/>
          <w:sz w:val="28"/>
          <w:szCs w:val="28"/>
        </w:rPr>
        <w:t>期超短期融资券”（以下简称“本期超短期融资券”）的发行。本期超短期融资券的发行额为</w:t>
      </w:r>
      <w:r>
        <w:rPr>
          <w:rFonts w:hint="eastAsia" w:eastAsia="仿宋"/>
          <w:sz w:val="28"/>
          <w:szCs w:val="28"/>
          <w:lang w:val="en-US" w:eastAsia="zh-CN"/>
        </w:rPr>
        <w:t>2</w:t>
      </w:r>
      <w:r>
        <w:rPr>
          <w:rFonts w:hint="eastAsia" w:eastAsia="仿宋"/>
          <w:sz w:val="28"/>
          <w:szCs w:val="28"/>
        </w:rPr>
        <w:t>亿元人民币，期限为</w:t>
      </w:r>
      <w:r>
        <w:rPr>
          <w:rFonts w:hint="eastAsia" w:eastAsia="仿宋"/>
          <w:sz w:val="28"/>
          <w:szCs w:val="28"/>
          <w:lang w:val="en-US" w:eastAsia="zh-CN"/>
        </w:rPr>
        <w:t>39</w:t>
      </w:r>
      <w:r>
        <w:rPr>
          <w:rFonts w:hint="eastAsia" w:eastAsia="仿宋"/>
          <w:sz w:val="28"/>
          <w:szCs w:val="28"/>
        </w:rPr>
        <w:t>天，单位面值为100元人民币，票面利率为</w:t>
      </w:r>
      <w:r>
        <w:rPr>
          <w:rFonts w:hint="eastAsia" w:eastAsia="仿宋"/>
          <w:sz w:val="28"/>
          <w:szCs w:val="28"/>
          <w:lang w:val="en-US" w:eastAsia="zh-CN"/>
        </w:rPr>
        <w:t>1</w:t>
      </w:r>
      <w:r>
        <w:rPr>
          <w:rFonts w:hint="eastAsia"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  <w:lang w:val="en-US" w:eastAsia="zh-CN"/>
        </w:rPr>
        <w:t>93</w:t>
      </w:r>
      <w:r>
        <w:rPr>
          <w:rFonts w:hint="eastAsia" w:eastAsia="仿宋"/>
          <w:sz w:val="28"/>
          <w:szCs w:val="28"/>
        </w:rPr>
        <w:t>%。2024年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hint="eastAsia"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22</w:t>
      </w:r>
      <w:r>
        <w:rPr>
          <w:rFonts w:hint="eastAsia" w:eastAsia="仿宋"/>
          <w:sz w:val="28"/>
          <w:szCs w:val="28"/>
        </w:rPr>
        <w:t>日，本期超短期融资券所募集资金</w:t>
      </w:r>
      <w:r>
        <w:rPr>
          <w:rFonts w:hint="eastAsia" w:eastAsia="仿宋"/>
          <w:sz w:val="28"/>
          <w:szCs w:val="28"/>
          <w:lang w:val="en-US" w:eastAsia="zh-CN"/>
        </w:rPr>
        <w:t>2</w:t>
      </w:r>
      <w:r>
        <w:rPr>
          <w:rFonts w:hint="eastAsia" w:eastAsia="仿宋"/>
          <w:sz w:val="28"/>
          <w:szCs w:val="28"/>
        </w:rPr>
        <w:t>亿元人民币已经全额到账。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本期超短期融资券由</w:t>
      </w:r>
      <w:r>
        <w:rPr>
          <w:rFonts w:hint="eastAsia" w:eastAsia="仿宋"/>
          <w:sz w:val="28"/>
          <w:szCs w:val="28"/>
          <w:lang w:val="en-US" w:eastAsia="zh-CN"/>
        </w:rPr>
        <w:t>中国工商</w:t>
      </w:r>
      <w:r>
        <w:rPr>
          <w:rFonts w:hint="eastAsia" w:eastAsia="仿宋"/>
          <w:sz w:val="28"/>
          <w:szCs w:val="28"/>
        </w:rPr>
        <w:t>银行</w:t>
      </w:r>
      <w:r>
        <w:rPr>
          <w:rFonts w:hint="eastAsia" w:eastAsia="仿宋"/>
          <w:sz w:val="28"/>
          <w:szCs w:val="28"/>
          <w:lang w:val="en-US" w:eastAsia="zh-CN"/>
        </w:rPr>
        <w:t>股份有限公司</w:t>
      </w:r>
      <w:r>
        <w:rPr>
          <w:rFonts w:hint="eastAsia" w:eastAsia="仿宋"/>
          <w:sz w:val="28"/>
          <w:szCs w:val="28"/>
        </w:rPr>
        <w:t>作为主承销商及簿记管理人，募集资金将用于偿还未来到期的有息负债。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特此公告。 </w:t>
      </w:r>
    </w:p>
    <w:p>
      <w:pPr>
        <w:spacing w:line="600" w:lineRule="exact"/>
        <w:ind w:firstLine="4620" w:firstLineChars="1650"/>
        <w:rPr>
          <w:rFonts w:eastAsia="仿宋"/>
          <w:sz w:val="28"/>
          <w:szCs w:val="28"/>
        </w:rPr>
      </w:pPr>
    </w:p>
    <w:p>
      <w:pPr>
        <w:spacing w:line="600" w:lineRule="exact"/>
        <w:ind w:firstLine="4620" w:firstLineChars="165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吉林电力股份有限公司董事会</w:t>
      </w:r>
    </w:p>
    <w:p>
      <w:pPr>
        <w:spacing w:line="6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</w:t>
      </w:r>
      <w:r>
        <w:rPr>
          <w:rFonts w:hint="eastAsia" w:eastAsia="仿宋"/>
          <w:sz w:val="28"/>
          <w:szCs w:val="28"/>
        </w:rPr>
        <w:t xml:space="preserve">     </w:t>
      </w:r>
      <w:r>
        <w:rPr>
          <w:rFonts w:eastAsia="仿宋"/>
          <w:sz w:val="28"/>
          <w:szCs w:val="28"/>
        </w:rPr>
        <w:t xml:space="preserve"> 二〇二</w:t>
      </w:r>
      <w:r>
        <w:rPr>
          <w:rFonts w:hint="eastAsia" w:eastAsia="仿宋"/>
          <w:sz w:val="28"/>
          <w:szCs w:val="28"/>
        </w:rPr>
        <w:t>四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四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二十三</w:t>
      </w:r>
      <w:bookmarkStart w:id="0" w:name="_GoBack"/>
      <w:bookmarkEnd w:id="0"/>
      <w:r>
        <w:rPr>
          <w:rFonts w:eastAsia="仿宋"/>
          <w:sz w:val="28"/>
          <w:szCs w:val="28"/>
        </w:rPr>
        <w:t>日</w:t>
      </w:r>
    </w:p>
    <w:p>
      <w:pPr>
        <w:pStyle w:val="2"/>
        <w:spacing w:line="600" w:lineRule="exact"/>
        <w:ind w:firstLine="560"/>
        <w:rPr>
          <w:rFonts w:eastAsia="仿宋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ZDUxMmU3NmEwMTE5M2Q5ZTg0MGVmOGY5OWRhMDQifQ=="/>
  </w:docVars>
  <w:rsids>
    <w:rsidRoot w:val="240F6EF8"/>
    <w:rsid w:val="00085180"/>
    <w:rsid w:val="00125E8D"/>
    <w:rsid w:val="00180680"/>
    <w:rsid w:val="001C5711"/>
    <w:rsid w:val="00262119"/>
    <w:rsid w:val="002824CF"/>
    <w:rsid w:val="002D5F9F"/>
    <w:rsid w:val="002E707B"/>
    <w:rsid w:val="003A4031"/>
    <w:rsid w:val="005045CA"/>
    <w:rsid w:val="005B06CF"/>
    <w:rsid w:val="005D3FCA"/>
    <w:rsid w:val="00605BCC"/>
    <w:rsid w:val="00674E4E"/>
    <w:rsid w:val="007C4472"/>
    <w:rsid w:val="009066DD"/>
    <w:rsid w:val="0096106D"/>
    <w:rsid w:val="00996A20"/>
    <w:rsid w:val="00A2377A"/>
    <w:rsid w:val="00AA5D7C"/>
    <w:rsid w:val="00AB4F91"/>
    <w:rsid w:val="00B00CBF"/>
    <w:rsid w:val="00B75532"/>
    <w:rsid w:val="00BA20DA"/>
    <w:rsid w:val="00BE06DE"/>
    <w:rsid w:val="00CF2272"/>
    <w:rsid w:val="00EB2D20"/>
    <w:rsid w:val="00EF62F4"/>
    <w:rsid w:val="00F4647B"/>
    <w:rsid w:val="00FD54F3"/>
    <w:rsid w:val="03B679C7"/>
    <w:rsid w:val="0BDC60E7"/>
    <w:rsid w:val="14072DAB"/>
    <w:rsid w:val="240F6EF8"/>
    <w:rsid w:val="2ECC169F"/>
    <w:rsid w:val="35416AA1"/>
    <w:rsid w:val="35AA2856"/>
    <w:rsid w:val="3F0C1BE3"/>
    <w:rsid w:val="42CD0874"/>
    <w:rsid w:val="545164EB"/>
    <w:rsid w:val="552F4BB3"/>
    <w:rsid w:val="646E611F"/>
    <w:rsid w:val="7245773D"/>
    <w:rsid w:val="76DD41FE"/>
    <w:rsid w:val="7C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_Style 9"/>
    <w:basedOn w:val="1"/>
    <w:autoRedefine/>
    <w:qFormat/>
    <w:uiPriority w:val="0"/>
    <w:rPr>
      <w:rFonts w:ascii="Tahoma" w:hAnsi="Tahoma"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574</Characters>
  <Lines>4</Lines>
  <Paragraphs>1</Paragraphs>
  <TotalTime>145</TotalTime>
  <ScaleCrop>false</ScaleCrop>
  <LinksUpToDate>false</LinksUpToDate>
  <CharactersWithSpaces>673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2024-03-01T05:07:00Z</dcterms:created>
  <dc:creator>WPS_1591103659</dc:creator>
  <cp:lastModifiedBy>WPS_1591103659</cp:lastModifiedBy>
  <cp:lastPrinted>2022-11-15T07:57:00Z</cp:lastPrinted>
  <dcterms:modified xsi:type="dcterms:W3CDTF">2024-04-23T08:06:45Z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DFC9CA2388DE43CE96EF811DBE126DE3_13</vt:lpwstr>
  </property>
</Properties>
</file>