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宋体"/>
          <w:color w:val="auto"/>
          <w:sz w:val="21"/>
          <w:highlight w:val="none"/>
          <w:lang w:val="en-US" w:eastAsia="zh-CN"/>
        </w:rPr>
      </w:pPr>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lang w:val="en-US" w:eastAsia="zh-CN"/>
        </w:rPr>
        <w:t>4</w:t>
      </w:r>
      <w:r>
        <w:rPr>
          <w:rFonts w:ascii="Times New Roman" w:eastAsia="宋体"/>
          <w:color w:val="auto"/>
          <w:sz w:val="21"/>
          <w:highlight w:val="none"/>
        </w:rPr>
        <w:t>-</w:t>
      </w:r>
      <w:r>
        <w:rPr>
          <w:rFonts w:hint="eastAsia" w:ascii="Times New Roman" w:eastAsia="宋体"/>
          <w:color w:val="auto"/>
          <w:sz w:val="21"/>
          <w:highlight w:val="none"/>
          <w:lang w:val="en-US" w:eastAsia="zh-CN"/>
        </w:rPr>
        <w:t>023</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lang w:val="en-US" w:eastAsia="zh-CN"/>
        </w:rPr>
        <w:t>4</w:t>
      </w:r>
      <w:r>
        <w:rPr>
          <w:rFonts w:ascii="Times New Roman" w:eastAsia="宋体"/>
          <w:b/>
          <w:color w:val="auto"/>
          <w:sz w:val="44"/>
          <w:highlight w:val="none"/>
        </w:rPr>
        <w:t>年第</w:t>
      </w:r>
      <w:r>
        <w:rPr>
          <w:rFonts w:hint="eastAsia" w:ascii="Times New Roman" w:eastAsia="宋体"/>
          <w:b/>
          <w:color w:val="auto"/>
          <w:sz w:val="44"/>
          <w:highlight w:val="none"/>
          <w:lang w:val="en-US" w:eastAsia="zh-CN"/>
        </w:rPr>
        <w:t>二</w:t>
      </w:r>
      <w:r>
        <w:rPr>
          <w:rFonts w:ascii="Times New Roman" w:eastAsia="宋体"/>
          <w:b/>
          <w:color w:val="auto"/>
          <w:sz w:val="44"/>
          <w:highlight w:val="none"/>
        </w:rPr>
        <w:t>次临时股东大会决议公告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8</w:t>
      </w:r>
      <w:r>
        <w:rPr>
          <w:rFonts w:hint="eastAsia" w:ascii="Times New Roman" w:eastAsia="仿宋"/>
          <w:color w:val="auto"/>
          <w:szCs w:val="28"/>
          <w:highlight w:val="none"/>
        </w:rPr>
        <w:t>日（星期</w:t>
      </w:r>
      <w:r>
        <w:rPr>
          <w:rFonts w:hint="eastAsia" w:ascii="Times New Roman" w:eastAsia="仿宋"/>
          <w:color w:val="auto"/>
          <w:szCs w:val="28"/>
          <w:highlight w:val="none"/>
          <w:lang w:val="en-US" w:eastAsia="zh-CN"/>
        </w:rPr>
        <w:t>一</w:t>
      </w:r>
      <w:r>
        <w:rPr>
          <w:rFonts w:hint="eastAsia" w:ascii="Times New Roman" w:eastAsia="仿宋"/>
          <w:color w:val="auto"/>
          <w:szCs w:val="28"/>
          <w:highlight w:val="none"/>
        </w:rPr>
        <w:t>）下午14:00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8</w:t>
      </w:r>
      <w:r>
        <w:rPr>
          <w:rFonts w:hint="eastAsia" w:ascii="Times New Roman" w:eastAsia="仿宋"/>
          <w:color w:val="auto"/>
          <w:szCs w:val="28"/>
          <w:highlight w:val="none"/>
        </w:rPr>
        <w:t>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8</w:t>
      </w:r>
      <w:r>
        <w:rPr>
          <w:rFonts w:hint="eastAsia" w:ascii="Times New Roman" w:eastAsia="仿宋"/>
          <w:color w:val="auto"/>
          <w:szCs w:val="28"/>
          <w:highlight w:val="none"/>
        </w:rPr>
        <w:t>日上午9:15-9:25，9:30-11:30和下午13:00-15:00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8</w:t>
      </w:r>
      <w:r>
        <w:rPr>
          <w:rFonts w:hint="eastAsia" w:ascii="Times New Roman" w:eastAsia="仿宋"/>
          <w:color w:val="auto"/>
          <w:szCs w:val="28"/>
          <w:highlight w:val="none"/>
        </w:rPr>
        <w:t>日9:15-15:00的任意时间</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吉林电力股份有限公司三楼会议室。</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ind w:firstLine="560" w:firstLineChars="200"/>
        <w:jc w:val="left"/>
        <w:rPr>
          <w:rFonts w:ascii="Times New Roman" w:eastAsia="仿宋"/>
          <w:color w:val="auto"/>
          <w:szCs w:val="28"/>
          <w:highlight w:val="none"/>
        </w:rPr>
      </w:pPr>
      <w:r>
        <w:rPr>
          <w:rFonts w:hint="eastAsia" w:ascii="Times New Roman" w:hAnsi="仿宋" w:eastAsia="仿宋"/>
          <w:color w:val="auto"/>
          <w:szCs w:val="28"/>
          <w:highlight w:val="none"/>
        </w:rPr>
        <w:t>公司董事长才延福先生主持本次会议</w:t>
      </w:r>
      <w:r>
        <w:rPr>
          <w:rFonts w:ascii="Times New Roman" w:hAnsi="仿宋"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98</w:t>
      </w:r>
      <w:r>
        <w:rPr>
          <w:rFonts w:ascii="Times New Roman" w:eastAsia="仿宋"/>
          <w:color w:val="auto"/>
          <w:szCs w:val="28"/>
          <w:highlight w:val="none"/>
        </w:rPr>
        <w:t>人，代表股份</w:t>
      </w:r>
      <w:r>
        <w:rPr>
          <w:rFonts w:hint="eastAsia" w:ascii="Times New Roman" w:eastAsia="仿宋"/>
          <w:color w:val="auto"/>
          <w:szCs w:val="28"/>
          <w:highlight w:val="none"/>
        </w:rPr>
        <w:t xml:space="preserve"> 939,870,916</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33.6846%</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none"/>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4</w:t>
      </w:r>
      <w:r>
        <w:rPr>
          <w:rFonts w:ascii="Times New Roman" w:eastAsia="仿宋"/>
          <w:color w:val="auto"/>
          <w:szCs w:val="28"/>
          <w:highlight w:val="none"/>
        </w:rPr>
        <w:t>人，代表股份数量为</w:t>
      </w:r>
      <w:r>
        <w:rPr>
          <w:rFonts w:hint="eastAsia" w:ascii="Times New Roman" w:eastAsia="仿宋"/>
          <w:color w:val="auto"/>
          <w:szCs w:val="28"/>
          <w:highlight w:val="none"/>
        </w:rPr>
        <w:t>889,761,522</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31.8887%</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94</w:t>
      </w:r>
      <w:r>
        <w:rPr>
          <w:rFonts w:ascii="Times New Roman" w:eastAsia="仿宋"/>
          <w:color w:val="auto"/>
          <w:szCs w:val="28"/>
          <w:highlight w:val="none"/>
        </w:rPr>
        <w:t>人，代表股份</w:t>
      </w:r>
      <w:r>
        <w:rPr>
          <w:rFonts w:hint="eastAsia" w:ascii="Times New Roman" w:eastAsia="仿宋"/>
          <w:color w:val="auto"/>
          <w:szCs w:val="28"/>
          <w:highlight w:val="none"/>
        </w:rPr>
        <w:t>50,109,394</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1.7959%</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left="560" w:leftChars="200"/>
        <w:jc w:val="left"/>
        <w:rPr>
          <w:rFonts w:ascii="Times New Roman"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rPr>
        <w:t>现场列席了会议，</w:t>
      </w:r>
      <w:r>
        <w:rPr>
          <w:rFonts w:ascii="Times New Roman" w:eastAsia="仿宋"/>
          <w:color w:val="auto"/>
          <w:szCs w:val="28"/>
          <w:highlight w:val="none"/>
        </w:rPr>
        <w:t>公司法律顾问</w:t>
      </w:r>
    </w:p>
    <w:p>
      <w:pPr>
        <w:spacing w:line="600" w:lineRule="exact"/>
        <w:jc w:val="left"/>
        <w:rPr>
          <w:rFonts w:hint="eastAsia" w:ascii="Times New Roman" w:hAnsi="仿宋" w:eastAsia="仿宋"/>
          <w:color w:val="auto"/>
          <w:szCs w:val="28"/>
          <w:highlight w:val="none"/>
        </w:rPr>
      </w:pP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1.</w:t>
      </w:r>
      <w:r>
        <w:rPr>
          <w:rFonts w:ascii="Times New Roman" w:eastAsia="仿宋"/>
          <w:b/>
          <w:color w:val="auto"/>
          <w:szCs w:val="28"/>
          <w:highlight w:val="none"/>
        </w:rPr>
        <w:t>《</w:t>
      </w:r>
      <w:r>
        <w:rPr>
          <w:rFonts w:hint="eastAsia" w:ascii="Times New Roman" w:eastAsia="仿宋"/>
          <w:b/>
          <w:color w:val="auto"/>
          <w:szCs w:val="28"/>
          <w:highlight w:val="none"/>
        </w:rPr>
        <w:t>关于公司所属企业拟接受上海发电设备成套设计研究院有限责任公司提供EPC工程总承包服务暨关联交易的议案</w:t>
      </w:r>
      <w:r>
        <w:rPr>
          <w:rFonts w:ascii="Times New Roman" w:eastAsia="仿宋"/>
          <w:b/>
          <w:color w:val="auto"/>
          <w:szCs w:val="28"/>
          <w:highlight w:val="none"/>
        </w:rPr>
        <w:t>》</w:t>
      </w:r>
    </w:p>
    <w:p>
      <w:pPr>
        <w:ind w:firstLine="560" w:firstLineChars="200"/>
        <w:rPr>
          <w:rFonts w:ascii="Times New Roman" w:hAnsi="仿宋" w:eastAsia="仿宋"/>
          <w:szCs w:val="28"/>
          <w:highlight w:val="none"/>
        </w:rPr>
      </w:pPr>
      <w:r>
        <w:rPr>
          <w:rFonts w:ascii="Times New Roman" w:hAnsi="仿宋" w:eastAsia="仿宋"/>
          <w:b/>
          <w:bCs/>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w:t>
      </w:r>
      <w:r>
        <w:rPr>
          <w:rFonts w:hint="eastAsia" w:ascii="Times New Roman" w:hAnsi="Times New Roman" w:eastAsia="仿宋"/>
          <w:szCs w:val="28"/>
          <w:highlight w:val="none"/>
          <w:lang w:val="en-US" w:eastAsia="zh-CN"/>
        </w:rPr>
        <w:t>国家电力投资集团有限公司（以下简称“</w:t>
      </w:r>
      <w:r>
        <w:rPr>
          <w:rFonts w:ascii="Times New Roman" w:hAnsi="Times New Roman" w:eastAsia="仿宋"/>
          <w:szCs w:val="28"/>
          <w:highlight w:val="none"/>
        </w:rPr>
        <w:t>国家电投</w:t>
      </w:r>
      <w:r>
        <w:rPr>
          <w:rFonts w:hint="eastAsia" w:ascii="Times New Roman" w:hAnsi="Times New Roman" w:eastAsia="仿宋"/>
          <w:szCs w:val="28"/>
          <w:highlight w:val="none"/>
          <w:lang w:eastAsia="zh-CN"/>
        </w:rPr>
        <w:t>”）</w:t>
      </w:r>
      <w:r>
        <w:rPr>
          <w:rFonts w:ascii="Times New Roman" w:hAnsi="仿宋" w:eastAsia="仿宋"/>
          <w:szCs w:val="28"/>
          <w:highlight w:val="none"/>
        </w:rPr>
        <w:t>和</w:t>
      </w:r>
      <w:r>
        <w:rPr>
          <w:rFonts w:hint="eastAsia" w:ascii="Times New Roman" w:hAnsi="仿宋" w:eastAsia="仿宋"/>
          <w:szCs w:val="28"/>
          <w:highlight w:val="none"/>
          <w:lang w:val="en-US" w:eastAsia="zh-CN"/>
        </w:rPr>
        <w:t>国家电投吉林能源投资有限公司（以下简称“</w:t>
      </w:r>
      <w:r>
        <w:rPr>
          <w:rFonts w:hint="eastAsia" w:ascii="Times New Roman" w:hAnsi="仿宋" w:eastAsia="仿宋"/>
          <w:szCs w:val="28"/>
          <w:highlight w:val="none"/>
        </w:rPr>
        <w:t>吉林能投</w:t>
      </w:r>
      <w:r>
        <w:rPr>
          <w:rFonts w:hint="eastAsia" w:ascii="Times New Roman" w:hAnsi="仿宋" w:eastAsia="仿宋"/>
          <w:szCs w:val="28"/>
          <w:highlight w:val="none"/>
          <w:lang w:eastAsia="zh-CN"/>
        </w:rPr>
        <w:t>”</w:t>
      </w:r>
      <w:r>
        <w:rPr>
          <w:rFonts w:hint="eastAsia" w:ascii="Times New Roman" w:hAnsi="仿宋" w:eastAsia="仿宋"/>
          <w:szCs w:val="28"/>
          <w:highlight w:val="none"/>
          <w:lang w:val="en-US" w:eastAsia="zh-CN"/>
        </w:rPr>
        <w:t>）</w:t>
      </w:r>
      <w:r>
        <w:rPr>
          <w:rFonts w:ascii="Times New Roman" w:hAnsi="仿宋" w:eastAsia="仿宋"/>
          <w:szCs w:val="28"/>
          <w:highlight w:val="none"/>
        </w:rPr>
        <w:t>回避了表决。</w:t>
      </w:r>
    </w:p>
    <w:p>
      <w:pPr>
        <w:ind w:firstLine="560" w:firstLineChars="200"/>
        <w:rPr>
          <w:rFonts w:hint="eastAsia" w:hAnsi="仿宋" w:eastAsia="仿宋" w:cs="仿宋"/>
          <w:sz w:val="28"/>
          <w:szCs w:val="28"/>
          <w:highlight w:val="none"/>
          <w:lang w:eastAsia="zh-CN"/>
        </w:rPr>
      </w:pPr>
      <w:r>
        <w:rPr>
          <w:rFonts w:ascii="Times New Roman" w:hAnsi="仿宋" w:eastAsia="仿宋"/>
          <w:szCs w:val="28"/>
          <w:highlight w:val="none"/>
        </w:rPr>
        <w:t>国家电投是公司的实际控制人；</w:t>
      </w:r>
      <w:r>
        <w:rPr>
          <w:rFonts w:hint="eastAsia" w:ascii="仿宋" w:hAnsi="仿宋" w:eastAsia="仿宋" w:cs="仿宋"/>
          <w:color w:val="auto"/>
          <w:sz w:val="28"/>
          <w:szCs w:val="28"/>
          <w:highlight w:val="none"/>
        </w:rPr>
        <w:t>国家电投持有</w:t>
      </w:r>
      <w:r>
        <w:rPr>
          <w:rFonts w:hint="eastAsia" w:ascii="仿宋" w:hAnsi="仿宋" w:eastAsia="仿宋" w:cs="仿宋"/>
          <w:sz w:val="28"/>
          <w:szCs w:val="28"/>
        </w:rPr>
        <w:t>上海发电设备成套设计研究院有限责任公司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以下简称“</w:t>
      </w:r>
      <w:r>
        <w:rPr>
          <w:rFonts w:hint="eastAsia" w:ascii="仿宋" w:hAnsi="仿宋" w:eastAsia="仿宋" w:cs="仿宋"/>
          <w:sz w:val="28"/>
          <w:szCs w:val="28"/>
        </w:rPr>
        <w:t>上海成套院</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rPr>
        <w:t>母公司国家核电技术有限公司92.0545%股权，</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rPr>
        <w:t>是国家核电技术有限公司</w:t>
      </w:r>
      <w:r>
        <w:rPr>
          <w:rFonts w:hint="eastAsia" w:ascii="仿宋" w:hAnsi="仿宋" w:eastAsia="仿宋" w:cs="仿宋"/>
          <w:color w:val="auto"/>
          <w:sz w:val="28"/>
          <w:szCs w:val="28"/>
          <w:highlight w:val="none"/>
          <w:lang w:val="en-US" w:eastAsia="zh-CN"/>
        </w:rPr>
        <w:t>的全资子</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公司与</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rPr>
        <w:t>同受国家电投控制</w:t>
      </w:r>
      <w:r>
        <w:rPr>
          <w:rFonts w:hint="eastAsia" w:ascii="仿宋" w:hAnsi="仿宋" w:eastAsia="仿宋" w:cs="仿宋"/>
          <w:color w:val="auto"/>
          <w:sz w:val="28"/>
          <w:szCs w:val="28"/>
          <w:highlight w:val="none"/>
          <w:lang w:eastAsia="zh-CN"/>
        </w:rPr>
        <w:t>。</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04"/>
        <w:gridCol w:w="972"/>
        <w:gridCol w:w="1315"/>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27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7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1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4,200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43,546,594</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6,174,900</w:t>
            </w:r>
          </w:p>
        </w:tc>
        <w:tc>
          <w:tcPr>
            <w:tcW w:w="97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387,900</w:t>
            </w:r>
          </w:p>
        </w:tc>
        <w:tc>
          <w:tcPr>
            <w:tcW w:w="131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43,550,794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6,174,900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387,900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86.9031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12.3228 </w:t>
            </w:r>
          </w:p>
        </w:tc>
        <w:tc>
          <w:tcPr>
            <w:tcW w:w="97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0.7741 </w:t>
            </w:r>
          </w:p>
        </w:tc>
        <w:tc>
          <w:tcPr>
            <w:tcW w:w="131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86.9042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12.3218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0.7740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53"/>
        <w:gridCol w:w="717"/>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2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7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4,200</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43,546,594</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6,174,900</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387,900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43,550,794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6,174,900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387,900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100.00 </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86.9031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12.3228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0.7741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86.9042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12.3218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eastAsia="宋体" w:cs="Times New Roman"/>
                <w:color w:val="auto"/>
                <w:sz w:val="21"/>
                <w:highlight w:val="none"/>
                <w:lang w:val="en-US" w:eastAsia="zh-CN" w:bidi="ar"/>
              </w:rPr>
            </w:pPr>
            <w:r>
              <w:rPr>
                <w:rFonts w:hint="default" w:ascii="Times New Roman" w:eastAsia="宋体" w:cs="Times New Roman"/>
                <w:color w:val="auto"/>
                <w:sz w:val="21"/>
                <w:highlight w:val="none"/>
                <w:lang w:val="en-US" w:eastAsia="zh-CN" w:bidi="ar"/>
              </w:rPr>
              <w:t xml:space="preserve">0.7740 </w:t>
            </w:r>
          </w:p>
        </w:tc>
      </w:tr>
    </w:tbl>
    <w:p>
      <w:pPr>
        <w:spacing w:line="560" w:lineRule="exact"/>
        <w:ind w:firstLine="560" w:firstLineChars="200"/>
        <w:rPr>
          <w:rFonts w:hint="eastAsia" w:ascii="Times New Roman" w:eastAsia="仿宋"/>
          <w:color w:val="auto"/>
          <w:szCs w:val="28"/>
          <w:highlight w:val="none"/>
          <w:lang w:val="en-US" w:eastAsia="zh-CN"/>
        </w:rPr>
      </w:pPr>
      <w:r>
        <w:rPr>
          <w:rFonts w:ascii="Times New Roman" w:eastAsia="仿宋"/>
          <w:color w:val="auto"/>
          <w:szCs w:val="28"/>
          <w:highlight w:val="none"/>
        </w:rPr>
        <w:t>表决结果：通过了《</w:t>
      </w:r>
      <w:r>
        <w:rPr>
          <w:rFonts w:hint="eastAsia" w:ascii="Times New Roman" w:eastAsia="仿宋"/>
          <w:color w:val="auto"/>
          <w:szCs w:val="28"/>
          <w:highlight w:val="none"/>
        </w:rPr>
        <w:t>关于公司所属企业拟接受上海发电设备成套设计研究院有限责任公司提供EPC工程总承包服务暨关联交易的议案</w:t>
      </w:r>
      <w:r>
        <w:rPr>
          <w:rFonts w:ascii="Times New Roman" w:eastAsia="仿宋"/>
          <w:color w:val="auto"/>
          <w:szCs w:val="28"/>
          <w:highlight w:val="none"/>
        </w:rPr>
        <w:t>》</w:t>
      </w:r>
      <w:r>
        <w:rPr>
          <w:rFonts w:hint="eastAsia" w:ascii="Times New Roman" w:eastAsia="仿宋"/>
          <w:color w:val="auto"/>
          <w:szCs w:val="28"/>
          <w:highlight w:val="none"/>
          <w:lang w:eastAsia="zh-CN"/>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w:t>
      </w:r>
      <w:r>
        <w:rPr>
          <w:rFonts w:ascii="Times New Roman" w:eastAsia="仿宋"/>
          <w:b/>
          <w:color w:val="auto"/>
          <w:szCs w:val="28"/>
          <w:highlight w:val="none"/>
        </w:rPr>
        <w:t>《</w:t>
      </w:r>
      <w:r>
        <w:rPr>
          <w:rFonts w:hint="eastAsia" w:ascii="Times New Roman" w:eastAsia="仿宋"/>
          <w:b/>
          <w:color w:val="auto"/>
          <w:szCs w:val="28"/>
          <w:highlight w:val="none"/>
        </w:rPr>
        <w:t>关于公司所属企业拟接受上海能源科技发展有限公司提供EPC工程总承包服务暨关联交易的议案</w:t>
      </w:r>
      <w:r>
        <w:rPr>
          <w:rFonts w:ascii="Times New Roman" w:eastAsia="仿宋"/>
          <w:b/>
          <w:color w:val="auto"/>
          <w:szCs w:val="28"/>
          <w:highlight w:val="none"/>
        </w:rPr>
        <w:t>》</w:t>
      </w:r>
    </w:p>
    <w:p>
      <w:pPr>
        <w:ind w:firstLine="560" w:firstLineChars="200"/>
        <w:rPr>
          <w:rFonts w:ascii="Times New Roman" w:hAnsi="仿宋" w:eastAsia="仿宋"/>
          <w:szCs w:val="28"/>
          <w:highlight w:val="none"/>
        </w:rPr>
      </w:pPr>
      <w:r>
        <w:rPr>
          <w:rFonts w:ascii="Times New Roman" w:hAnsi="仿宋" w:eastAsia="仿宋"/>
          <w:b/>
          <w:bCs/>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w:t>
      </w:r>
      <w:r>
        <w:rPr>
          <w:rFonts w:hint="eastAsia" w:ascii="Times New Roman" w:hAnsi="Times New Roman" w:eastAsia="仿宋"/>
          <w:szCs w:val="28"/>
          <w:highlight w:val="none"/>
          <w:lang w:val="en-US" w:eastAsia="zh-CN"/>
        </w:rPr>
        <w:t>国家电投</w:t>
      </w:r>
      <w:r>
        <w:rPr>
          <w:rFonts w:ascii="Times New Roman" w:hAnsi="仿宋" w:eastAsia="仿宋"/>
          <w:szCs w:val="28"/>
          <w:highlight w:val="none"/>
        </w:rPr>
        <w:t>和</w:t>
      </w:r>
      <w:r>
        <w:rPr>
          <w:rFonts w:hint="eastAsia" w:ascii="Times New Roman" w:hAnsi="仿宋" w:eastAsia="仿宋"/>
          <w:szCs w:val="28"/>
          <w:highlight w:val="none"/>
          <w:lang w:val="en-US" w:eastAsia="zh-CN"/>
        </w:rPr>
        <w:t>吉林能投</w:t>
      </w:r>
      <w:bookmarkStart w:id="0" w:name="_GoBack"/>
      <w:bookmarkEnd w:id="0"/>
      <w:r>
        <w:rPr>
          <w:rFonts w:ascii="Times New Roman" w:hAnsi="仿宋" w:eastAsia="仿宋"/>
          <w:szCs w:val="28"/>
          <w:highlight w:val="none"/>
        </w:rPr>
        <w:t>回避了表决。</w:t>
      </w:r>
    </w:p>
    <w:p>
      <w:pPr>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hint="eastAsia" w:ascii="仿宋" w:hAnsi="仿宋" w:eastAsia="仿宋" w:cs="仿宋"/>
          <w:color w:val="auto"/>
          <w:sz w:val="28"/>
          <w:szCs w:val="28"/>
          <w:highlight w:val="none"/>
        </w:rPr>
        <w:t>国家电投持有</w:t>
      </w:r>
      <w:r>
        <w:rPr>
          <w:rFonts w:hint="eastAsia" w:ascii="仿宋" w:hAnsi="仿宋" w:eastAsia="仿宋" w:cs="仿宋"/>
          <w:color w:val="auto"/>
          <w:kern w:val="28"/>
          <w:sz w:val="28"/>
          <w:szCs w:val="28"/>
          <w:highlight w:val="none"/>
        </w:rPr>
        <w:t>上海能源科技发展有限公司</w:t>
      </w:r>
      <w:r>
        <w:rPr>
          <w:rFonts w:hint="eastAsia" w:ascii="仿宋" w:hAnsi="仿宋" w:eastAsia="仿宋" w:cs="仿宋"/>
          <w:color w:val="auto"/>
          <w:kern w:val="28"/>
          <w:sz w:val="28"/>
          <w:szCs w:val="28"/>
          <w:highlight w:val="none"/>
          <w:lang w:eastAsia="zh-CN"/>
        </w:rPr>
        <w:t>（</w:t>
      </w:r>
      <w:r>
        <w:rPr>
          <w:rFonts w:hint="eastAsia" w:ascii="仿宋" w:hAnsi="仿宋" w:eastAsia="仿宋" w:cs="仿宋"/>
          <w:color w:val="auto"/>
          <w:kern w:val="28"/>
          <w:sz w:val="28"/>
          <w:szCs w:val="28"/>
          <w:highlight w:val="none"/>
          <w:lang w:val="en-US" w:eastAsia="zh-CN"/>
        </w:rPr>
        <w:t>以下简称“</w:t>
      </w:r>
      <w:r>
        <w:rPr>
          <w:rFonts w:hint="eastAsia" w:eastAsia="仿宋"/>
          <w:color w:val="000000"/>
          <w:sz w:val="28"/>
          <w:szCs w:val="28"/>
          <w:highlight w:val="none"/>
          <w:lang w:val="en-US" w:eastAsia="zh-CN"/>
        </w:rPr>
        <w:t>上海能科”</w:t>
      </w:r>
      <w:r>
        <w:rPr>
          <w:rFonts w:hint="eastAsia" w:ascii="仿宋" w:hAnsi="仿宋" w:eastAsia="仿宋" w:cs="仿宋"/>
          <w:color w:val="auto"/>
          <w:kern w:val="28"/>
          <w:sz w:val="28"/>
          <w:szCs w:val="28"/>
          <w:highlight w:val="none"/>
          <w:lang w:eastAsia="zh-CN"/>
        </w:rPr>
        <w:t>）</w:t>
      </w:r>
      <w:r>
        <w:rPr>
          <w:rFonts w:hint="eastAsia" w:ascii="仿宋" w:hAnsi="仿宋" w:eastAsia="仿宋" w:cs="仿宋"/>
          <w:color w:val="auto"/>
          <w:sz w:val="28"/>
          <w:szCs w:val="28"/>
          <w:highlight w:val="none"/>
        </w:rPr>
        <w:t>母公司国家核电技术有限公司92.0545%股权，</w:t>
      </w:r>
      <w:r>
        <w:rPr>
          <w:rFonts w:hint="eastAsia" w:eastAsia="仿宋"/>
          <w:color w:val="000000"/>
          <w:sz w:val="28"/>
          <w:szCs w:val="28"/>
          <w:highlight w:val="none"/>
          <w:lang w:val="en-US" w:eastAsia="zh-CN"/>
        </w:rPr>
        <w:t>上海能科</w:t>
      </w:r>
      <w:r>
        <w:rPr>
          <w:rFonts w:hint="eastAsia" w:ascii="仿宋" w:hAnsi="仿宋" w:eastAsia="仿宋" w:cs="仿宋"/>
          <w:color w:val="auto"/>
          <w:sz w:val="28"/>
          <w:szCs w:val="28"/>
          <w:highlight w:val="none"/>
        </w:rPr>
        <w:t>是国家核电技术有限公司</w:t>
      </w:r>
      <w:r>
        <w:rPr>
          <w:rFonts w:hint="eastAsia" w:ascii="仿宋" w:hAnsi="仿宋" w:eastAsia="仿宋" w:cs="仿宋"/>
          <w:color w:val="auto"/>
          <w:sz w:val="28"/>
          <w:szCs w:val="28"/>
          <w:highlight w:val="none"/>
          <w:lang w:val="en-US" w:eastAsia="zh-CN"/>
        </w:rPr>
        <w:t>的全资子</w:t>
      </w:r>
      <w:r>
        <w:rPr>
          <w:rFonts w:hint="eastAsia" w:ascii="仿宋" w:hAnsi="仿宋" w:eastAsia="仿宋" w:cs="仿宋"/>
          <w:color w:val="auto"/>
          <w:sz w:val="28"/>
          <w:szCs w:val="28"/>
          <w:highlight w:val="none"/>
        </w:rPr>
        <w:t>公司。公司与</w:t>
      </w:r>
      <w:r>
        <w:rPr>
          <w:rFonts w:hint="eastAsia" w:eastAsia="仿宋"/>
          <w:color w:val="000000"/>
          <w:sz w:val="28"/>
          <w:szCs w:val="28"/>
          <w:highlight w:val="none"/>
          <w:lang w:val="en-US" w:eastAsia="zh-CN"/>
        </w:rPr>
        <w:t>上海能科</w:t>
      </w:r>
      <w:r>
        <w:rPr>
          <w:rFonts w:hint="eastAsia" w:ascii="仿宋" w:hAnsi="仿宋" w:eastAsia="仿宋" w:cs="仿宋"/>
          <w:color w:val="auto"/>
          <w:sz w:val="28"/>
          <w:szCs w:val="28"/>
          <w:highlight w:val="none"/>
        </w:rPr>
        <w:t>同受国家电投控制</w:t>
      </w:r>
      <w:r>
        <w:rPr>
          <w:rFonts w:hint="eastAsia" w:ascii="仿宋" w:hAnsi="仿宋" w:eastAsia="仿宋" w:cs="仿宋"/>
          <w:color w:val="auto"/>
          <w:sz w:val="28"/>
          <w:szCs w:val="28"/>
          <w:highlight w:val="none"/>
          <w:lang w:eastAsia="zh-CN"/>
        </w:rPr>
        <w:t>。</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16"/>
        <w:gridCol w:w="990"/>
        <w:gridCol w:w="1285"/>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0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9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4,200</w:t>
            </w:r>
          </w:p>
        </w:tc>
        <w:tc>
          <w:tcPr>
            <w:tcW w:w="81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43,511,394</w:t>
            </w: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6,210,100</w:t>
            </w:r>
          </w:p>
        </w:tc>
        <w:tc>
          <w:tcPr>
            <w:tcW w:w="99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387,900</w:t>
            </w:r>
          </w:p>
        </w:tc>
        <w:tc>
          <w:tcPr>
            <w:tcW w:w="1285"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43,515,594 </w:t>
            </w:r>
          </w:p>
        </w:tc>
        <w:tc>
          <w:tcPr>
            <w:tcW w:w="124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6,210,100 </w:t>
            </w:r>
          </w:p>
        </w:tc>
        <w:tc>
          <w:tcPr>
            <w:tcW w:w="911"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387,900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86.8328 </w:t>
            </w: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12.3931 </w:t>
            </w:r>
          </w:p>
        </w:tc>
        <w:tc>
          <w:tcPr>
            <w:tcW w:w="99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0.7741 </w:t>
            </w:r>
          </w:p>
        </w:tc>
        <w:tc>
          <w:tcPr>
            <w:tcW w:w="1285"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86.8339 </w:t>
            </w:r>
          </w:p>
        </w:tc>
        <w:tc>
          <w:tcPr>
            <w:tcW w:w="124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12.392</w:t>
            </w:r>
            <w:r>
              <w:rPr>
                <w:rFonts w:hint="eastAsia" w:ascii="Times New Roman" w:eastAsia="宋体" w:cs="Times New Roman"/>
                <w:color w:val="auto"/>
                <w:sz w:val="21"/>
                <w:highlight w:val="none"/>
                <w:lang w:val="en-US" w:eastAsia="zh-CN" w:bidi="ar"/>
              </w:rPr>
              <w:t>1</w:t>
            </w:r>
            <w:r>
              <w:rPr>
                <w:rFonts w:hint="default" w:ascii="Times New Roman" w:hAnsi="Times New Roman" w:eastAsia="宋体" w:cs="Times New Roman"/>
                <w:color w:val="auto"/>
                <w:sz w:val="21"/>
                <w:highlight w:val="none"/>
                <w:lang w:val="en-US" w:eastAsia="zh-CN" w:bidi="ar"/>
              </w:rPr>
              <w:t xml:space="preserve"> </w:t>
            </w:r>
          </w:p>
        </w:tc>
        <w:tc>
          <w:tcPr>
            <w:tcW w:w="911"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0.7740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4,200 </w:t>
            </w:r>
          </w:p>
        </w:tc>
        <w:tc>
          <w:tcPr>
            <w:tcW w:w="84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43,511,394</w:t>
            </w:r>
          </w:p>
        </w:tc>
        <w:tc>
          <w:tcPr>
            <w:tcW w:w="107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6,210,100</w:t>
            </w:r>
          </w:p>
        </w:tc>
        <w:tc>
          <w:tcPr>
            <w:tcW w:w="102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387,900</w:t>
            </w:r>
          </w:p>
        </w:tc>
        <w:tc>
          <w:tcPr>
            <w:tcW w:w="135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43,515,594 </w:t>
            </w:r>
          </w:p>
        </w:tc>
        <w:tc>
          <w:tcPr>
            <w:tcW w:w="122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6,210,100 </w:t>
            </w:r>
          </w:p>
        </w:tc>
        <w:tc>
          <w:tcPr>
            <w:tcW w:w="90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387,900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86.8328 </w:t>
            </w:r>
          </w:p>
        </w:tc>
        <w:tc>
          <w:tcPr>
            <w:tcW w:w="107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12.3931 </w:t>
            </w:r>
          </w:p>
        </w:tc>
        <w:tc>
          <w:tcPr>
            <w:tcW w:w="102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0.7741 </w:t>
            </w:r>
          </w:p>
        </w:tc>
        <w:tc>
          <w:tcPr>
            <w:tcW w:w="135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86.8339 </w:t>
            </w:r>
          </w:p>
        </w:tc>
        <w:tc>
          <w:tcPr>
            <w:tcW w:w="122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12.392</w:t>
            </w:r>
            <w:r>
              <w:rPr>
                <w:rFonts w:hint="eastAsia" w:ascii="Times New Roman" w:eastAsia="宋体" w:cs="Times New Roman"/>
                <w:color w:val="auto"/>
                <w:sz w:val="21"/>
                <w:highlight w:val="none"/>
                <w:lang w:val="en-US" w:eastAsia="zh-CN" w:bidi="ar"/>
              </w:rPr>
              <w:t>1</w:t>
            </w:r>
            <w:r>
              <w:rPr>
                <w:rFonts w:hint="default" w:ascii="Times New Roman" w:hAnsi="Times New Roman" w:eastAsia="宋体" w:cs="Times New Roman"/>
                <w:color w:val="auto"/>
                <w:sz w:val="21"/>
                <w:highlight w:val="none"/>
                <w:lang w:val="en-US" w:eastAsia="zh-CN" w:bidi="ar"/>
              </w:rPr>
              <w:t xml:space="preserve"> </w:t>
            </w:r>
          </w:p>
        </w:tc>
        <w:tc>
          <w:tcPr>
            <w:tcW w:w="90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0.7740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关于公司所属企业拟接受上海能源科技发展有限公司提供EPC工程总承包服务暨关联交易的议案</w:t>
      </w:r>
      <w:r>
        <w:rPr>
          <w:rFonts w:ascii="Times New Roman" w:eastAsia="仿宋"/>
          <w:color w:val="auto"/>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3.</w:t>
      </w:r>
      <w:r>
        <w:rPr>
          <w:rFonts w:ascii="Times New Roman" w:eastAsia="仿宋"/>
          <w:b/>
          <w:color w:val="auto"/>
          <w:szCs w:val="28"/>
          <w:highlight w:val="none"/>
        </w:rPr>
        <w:t>《</w:t>
      </w:r>
      <w:r>
        <w:rPr>
          <w:rFonts w:hint="eastAsia" w:ascii="Times New Roman" w:eastAsia="仿宋"/>
          <w:b/>
          <w:color w:val="auto"/>
          <w:szCs w:val="28"/>
          <w:highlight w:val="none"/>
        </w:rPr>
        <w:t>关于提请股东大会延长授权董事会全权办理公司向特定对象发行股票相关事宜有效期的议案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0"/>
        <w:gridCol w:w="762"/>
        <w:gridCol w:w="804"/>
        <w:gridCol w:w="1203"/>
        <w:gridCol w:w="1116"/>
        <w:gridCol w:w="799"/>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4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7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40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889,761,522</w:t>
            </w:r>
          </w:p>
        </w:tc>
        <w:tc>
          <w:tcPr>
            <w:tcW w:w="76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42,220,844</w:t>
            </w: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7,888,550</w:t>
            </w:r>
          </w:p>
        </w:tc>
        <w:tc>
          <w:tcPr>
            <w:tcW w:w="799"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47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931,982,366 </w:t>
            </w:r>
          </w:p>
        </w:tc>
        <w:tc>
          <w:tcPr>
            <w:tcW w:w="124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7,888,550 </w:t>
            </w:r>
          </w:p>
        </w:tc>
        <w:tc>
          <w:tcPr>
            <w:tcW w:w="911"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40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76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84.2573 </w:t>
            </w: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15.7427 </w:t>
            </w:r>
          </w:p>
        </w:tc>
        <w:tc>
          <w:tcPr>
            <w:tcW w:w="799"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47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99.1607 </w:t>
            </w:r>
          </w:p>
        </w:tc>
        <w:tc>
          <w:tcPr>
            <w:tcW w:w="124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0.8393 </w:t>
            </w:r>
          </w:p>
        </w:tc>
        <w:tc>
          <w:tcPr>
            <w:tcW w:w="911"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4,200 </w:t>
            </w:r>
          </w:p>
        </w:tc>
        <w:tc>
          <w:tcPr>
            <w:tcW w:w="84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42,220,844</w:t>
            </w:r>
          </w:p>
        </w:tc>
        <w:tc>
          <w:tcPr>
            <w:tcW w:w="107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7,888,550</w:t>
            </w:r>
          </w:p>
        </w:tc>
        <w:tc>
          <w:tcPr>
            <w:tcW w:w="102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35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42,225,044 </w:t>
            </w:r>
          </w:p>
        </w:tc>
        <w:tc>
          <w:tcPr>
            <w:tcW w:w="122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7,888,550 </w:t>
            </w:r>
          </w:p>
        </w:tc>
        <w:tc>
          <w:tcPr>
            <w:tcW w:w="90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84.2573 </w:t>
            </w:r>
          </w:p>
        </w:tc>
        <w:tc>
          <w:tcPr>
            <w:tcW w:w="107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15.7427 </w:t>
            </w:r>
          </w:p>
        </w:tc>
        <w:tc>
          <w:tcPr>
            <w:tcW w:w="1020"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c>
          <w:tcPr>
            <w:tcW w:w="1356"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84.2587 </w:t>
            </w:r>
          </w:p>
        </w:tc>
        <w:tc>
          <w:tcPr>
            <w:tcW w:w="1224"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15.7413 </w:t>
            </w:r>
          </w:p>
        </w:tc>
        <w:tc>
          <w:tcPr>
            <w:tcW w:w="908" w:type="dxa"/>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0.0000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关于提请股东大会延长授权董事会全权办理公司向特定对象发行股票相关事宜有效期的议案</w:t>
      </w:r>
      <w:r>
        <w:rPr>
          <w:rFonts w:ascii="Times New Roman" w:eastAsia="仿宋"/>
          <w:color w:val="auto"/>
          <w:szCs w:val="28"/>
          <w:highlight w:val="none"/>
        </w:rPr>
        <w:t>》。</w:t>
      </w:r>
    </w:p>
    <w:p>
      <w:pPr>
        <w:spacing w:line="560" w:lineRule="exact"/>
        <w:ind w:firstLine="548" w:firstLineChars="196"/>
        <w:rPr>
          <w:rFonts w:ascii="Times New Roman" w:eastAsia="仿宋"/>
          <w:b/>
          <w:color w:val="auto"/>
          <w:szCs w:val="28"/>
          <w:highlight w:val="none"/>
        </w:rPr>
      </w:pPr>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48CD"/>
    <w:rsid w:val="00C47BDF"/>
    <w:rsid w:val="00C531BD"/>
    <w:rsid w:val="00C543F1"/>
    <w:rsid w:val="00C6065E"/>
    <w:rsid w:val="00C606A8"/>
    <w:rsid w:val="00C734B4"/>
    <w:rsid w:val="00C814D1"/>
    <w:rsid w:val="00C94992"/>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33B6E7D"/>
    <w:rsid w:val="041013E1"/>
    <w:rsid w:val="04A636B3"/>
    <w:rsid w:val="05320B6A"/>
    <w:rsid w:val="05C94D77"/>
    <w:rsid w:val="05F67490"/>
    <w:rsid w:val="07113235"/>
    <w:rsid w:val="07443DB1"/>
    <w:rsid w:val="084D5B1D"/>
    <w:rsid w:val="087B10F6"/>
    <w:rsid w:val="08BF38BF"/>
    <w:rsid w:val="090202D3"/>
    <w:rsid w:val="0B2A31D3"/>
    <w:rsid w:val="0B2D352A"/>
    <w:rsid w:val="0B975FCC"/>
    <w:rsid w:val="0C3A3F28"/>
    <w:rsid w:val="0CCD3324"/>
    <w:rsid w:val="0CE623EF"/>
    <w:rsid w:val="0D0909BA"/>
    <w:rsid w:val="0E5E5540"/>
    <w:rsid w:val="0E6C207D"/>
    <w:rsid w:val="0EE35058"/>
    <w:rsid w:val="0EF10876"/>
    <w:rsid w:val="0F0C3551"/>
    <w:rsid w:val="0F5E67C6"/>
    <w:rsid w:val="0F8220FA"/>
    <w:rsid w:val="11231633"/>
    <w:rsid w:val="11630D8D"/>
    <w:rsid w:val="11D023BF"/>
    <w:rsid w:val="12745F31"/>
    <w:rsid w:val="13037207"/>
    <w:rsid w:val="13494DFC"/>
    <w:rsid w:val="13602B08"/>
    <w:rsid w:val="14440BF3"/>
    <w:rsid w:val="16322E06"/>
    <w:rsid w:val="177E19AB"/>
    <w:rsid w:val="17FB48E2"/>
    <w:rsid w:val="18B45C9C"/>
    <w:rsid w:val="1A2719E4"/>
    <w:rsid w:val="1A7C11FF"/>
    <w:rsid w:val="1A941F3E"/>
    <w:rsid w:val="1B542D7A"/>
    <w:rsid w:val="1B9466BE"/>
    <w:rsid w:val="1D933A6A"/>
    <w:rsid w:val="1E99430F"/>
    <w:rsid w:val="1F9C0EED"/>
    <w:rsid w:val="1FD223B2"/>
    <w:rsid w:val="1FFF2205"/>
    <w:rsid w:val="21A6749D"/>
    <w:rsid w:val="221A56D4"/>
    <w:rsid w:val="22475C84"/>
    <w:rsid w:val="234D06B2"/>
    <w:rsid w:val="23866614"/>
    <w:rsid w:val="247D1150"/>
    <w:rsid w:val="24FD103B"/>
    <w:rsid w:val="253F05F7"/>
    <w:rsid w:val="25D05970"/>
    <w:rsid w:val="261417DA"/>
    <w:rsid w:val="26541E50"/>
    <w:rsid w:val="278F13FA"/>
    <w:rsid w:val="27903B1C"/>
    <w:rsid w:val="298F6A63"/>
    <w:rsid w:val="299332F5"/>
    <w:rsid w:val="29B87076"/>
    <w:rsid w:val="2A1C5DF0"/>
    <w:rsid w:val="2A367A9E"/>
    <w:rsid w:val="2A5A35B6"/>
    <w:rsid w:val="2A5B7017"/>
    <w:rsid w:val="2A876238"/>
    <w:rsid w:val="2AFD0B6C"/>
    <w:rsid w:val="2BAB7745"/>
    <w:rsid w:val="2BC07154"/>
    <w:rsid w:val="2E1F33EC"/>
    <w:rsid w:val="2E3203BB"/>
    <w:rsid w:val="2F0B154A"/>
    <w:rsid w:val="2F4C2585"/>
    <w:rsid w:val="30A440D4"/>
    <w:rsid w:val="30E03899"/>
    <w:rsid w:val="31942D71"/>
    <w:rsid w:val="32E41118"/>
    <w:rsid w:val="33830AE3"/>
    <w:rsid w:val="3389522A"/>
    <w:rsid w:val="339E533B"/>
    <w:rsid w:val="34AB41EF"/>
    <w:rsid w:val="359F4EE3"/>
    <w:rsid w:val="35B94D23"/>
    <w:rsid w:val="35CA76E4"/>
    <w:rsid w:val="37B63D79"/>
    <w:rsid w:val="3840674A"/>
    <w:rsid w:val="384D38EC"/>
    <w:rsid w:val="39411341"/>
    <w:rsid w:val="39CE1CFC"/>
    <w:rsid w:val="3A1A4DDC"/>
    <w:rsid w:val="3A616898"/>
    <w:rsid w:val="3B097CC8"/>
    <w:rsid w:val="3C243228"/>
    <w:rsid w:val="3D797FA6"/>
    <w:rsid w:val="3D9E1CF8"/>
    <w:rsid w:val="3EE33765"/>
    <w:rsid w:val="3F3746A5"/>
    <w:rsid w:val="3F3D31A6"/>
    <w:rsid w:val="40367E44"/>
    <w:rsid w:val="403E69E2"/>
    <w:rsid w:val="403F3594"/>
    <w:rsid w:val="41FB150A"/>
    <w:rsid w:val="42E06EDC"/>
    <w:rsid w:val="43226EA0"/>
    <w:rsid w:val="44A23DB0"/>
    <w:rsid w:val="459E299E"/>
    <w:rsid w:val="45F12667"/>
    <w:rsid w:val="46152C69"/>
    <w:rsid w:val="46A53BDE"/>
    <w:rsid w:val="48131866"/>
    <w:rsid w:val="482B4E66"/>
    <w:rsid w:val="49C70A0E"/>
    <w:rsid w:val="4A05330E"/>
    <w:rsid w:val="4A2867F5"/>
    <w:rsid w:val="4A6B799C"/>
    <w:rsid w:val="4B335935"/>
    <w:rsid w:val="4BFF6BD4"/>
    <w:rsid w:val="4C33281D"/>
    <w:rsid w:val="4C6038EA"/>
    <w:rsid w:val="4CD568D6"/>
    <w:rsid w:val="4CFA6E65"/>
    <w:rsid w:val="4D9841C0"/>
    <w:rsid w:val="4E46308D"/>
    <w:rsid w:val="4FE70661"/>
    <w:rsid w:val="503D68E9"/>
    <w:rsid w:val="512F7E20"/>
    <w:rsid w:val="51DD49D4"/>
    <w:rsid w:val="52162321"/>
    <w:rsid w:val="530F6CF0"/>
    <w:rsid w:val="53897517"/>
    <w:rsid w:val="53B17A9A"/>
    <w:rsid w:val="53C0377C"/>
    <w:rsid w:val="53FA0B42"/>
    <w:rsid w:val="54512F6A"/>
    <w:rsid w:val="556A776D"/>
    <w:rsid w:val="56F560F1"/>
    <w:rsid w:val="578953F6"/>
    <w:rsid w:val="585C3454"/>
    <w:rsid w:val="5982398B"/>
    <w:rsid w:val="59F46363"/>
    <w:rsid w:val="5A5A6326"/>
    <w:rsid w:val="5A936E76"/>
    <w:rsid w:val="5AC71CFE"/>
    <w:rsid w:val="5BA030EC"/>
    <w:rsid w:val="5BCE1E62"/>
    <w:rsid w:val="5C606002"/>
    <w:rsid w:val="5C87586C"/>
    <w:rsid w:val="5CD909A0"/>
    <w:rsid w:val="5CE609DA"/>
    <w:rsid w:val="5E007244"/>
    <w:rsid w:val="5E656FE5"/>
    <w:rsid w:val="5E9213FF"/>
    <w:rsid w:val="5EE94178"/>
    <w:rsid w:val="5F1B5515"/>
    <w:rsid w:val="5F74592B"/>
    <w:rsid w:val="5FC375BE"/>
    <w:rsid w:val="5FF046C4"/>
    <w:rsid w:val="60232CD0"/>
    <w:rsid w:val="604D4532"/>
    <w:rsid w:val="605E03FB"/>
    <w:rsid w:val="60652495"/>
    <w:rsid w:val="626952A3"/>
    <w:rsid w:val="634575DE"/>
    <w:rsid w:val="64ED064C"/>
    <w:rsid w:val="65BB15C9"/>
    <w:rsid w:val="661014EE"/>
    <w:rsid w:val="66B14DC1"/>
    <w:rsid w:val="673431B9"/>
    <w:rsid w:val="67992086"/>
    <w:rsid w:val="68B50AE3"/>
    <w:rsid w:val="68C639F2"/>
    <w:rsid w:val="6AC17EF0"/>
    <w:rsid w:val="6B4017E9"/>
    <w:rsid w:val="6B590CE7"/>
    <w:rsid w:val="6B796B3C"/>
    <w:rsid w:val="6BDC1EC2"/>
    <w:rsid w:val="6C1E24CF"/>
    <w:rsid w:val="6C3A24A5"/>
    <w:rsid w:val="6C6674D7"/>
    <w:rsid w:val="6D20372B"/>
    <w:rsid w:val="6D600FB1"/>
    <w:rsid w:val="6D841735"/>
    <w:rsid w:val="6DB412A0"/>
    <w:rsid w:val="6E380E1F"/>
    <w:rsid w:val="6E3C540B"/>
    <w:rsid w:val="6EF23C35"/>
    <w:rsid w:val="6F2A7137"/>
    <w:rsid w:val="709D7BEE"/>
    <w:rsid w:val="71BD2F77"/>
    <w:rsid w:val="721E2EEB"/>
    <w:rsid w:val="729C1A78"/>
    <w:rsid w:val="72AB0CCE"/>
    <w:rsid w:val="73ED338F"/>
    <w:rsid w:val="74067D20"/>
    <w:rsid w:val="750C1539"/>
    <w:rsid w:val="753757DB"/>
    <w:rsid w:val="75832401"/>
    <w:rsid w:val="75AD5B28"/>
    <w:rsid w:val="75EE5AC0"/>
    <w:rsid w:val="760E2046"/>
    <w:rsid w:val="762F485B"/>
    <w:rsid w:val="768C680C"/>
    <w:rsid w:val="7786320D"/>
    <w:rsid w:val="78233E9E"/>
    <w:rsid w:val="79210969"/>
    <w:rsid w:val="798423AA"/>
    <w:rsid w:val="79C1586A"/>
    <w:rsid w:val="79CA7F61"/>
    <w:rsid w:val="7A4F6913"/>
    <w:rsid w:val="7A7B04E0"/>
    <w:rsid w:val="7AB54B62"/>
    <w:rsid w:val="7D6F715D"/>
    <w:rsid w:val="7D7809E9"/>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1">
    <w:name w:val="Default Paragraph Font"/>
    <w:link w:val="12"/>
    <w:semiHidden/>
    <w:uiPriority w:val="0"/>
    <w:rPr>
      <w:rFonts w:ascii="Tahoma" w:hAnsi="Tahoma"/>
      <w:sz w:val="24"/>
      <w:szCs w:val="20"/>
    </w:rPr>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next w:val="1"/>
    <w:link w:val="16"/>
    <w:autoRedefine/>
    <w:qFormat/>
    <w:uiPriority w:val="0"/>
    <w:pPr>
      <w:spacing w:after="120" w:afterLines="0" w:afterAutospacing="0"/>
      <w:ind w:left="420" w:leftChars="200"/>
    </w:pPr>
  </w:style>
  <w:style w:type="paragraph" w:styleId="4">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5">
    <w:name w:val="Balloon Text"/>
    <w:basedOn w:val="1"/>
    <w:link w:val="17"/>
    <w:autoRedefine/>
    <w:semiHidden/>
    <w:qFormat/>
    <w:uiPriority w:val="0"/>
    <w:rPr>
      <w:sz w:val="18"/>
      <w:szCs w:val="18"/>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autoRedefine/>
    <w:qFormat/>
    <w:uiPriority w:val="0"/>
    <w:pPr>
      <w:ind w:firstLine="420" w:firstLineChars="200"/>
    </w:pPr>
    <w:rPr>
      <w:rFonts w:ascii="Times New Roman" w:hAnsi="Times New Roman"/>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9"/>
    <w:basedOn w:val="1"/>
    <w:link w:val="11"/>
    <w:autoRedefine/>
    <w:qFormat/>
    <w:uiPriority w:val="0"/>
    <w:rPr>
      <w:rFonts w:ascii="Tahoma" w:hAnsi="Tahoma" w:eastAsia="Times New Roman"/>
      <w:color w:val="auto"/>
      <w:sz w:val="24"/>
      <w:szCs w:val="20"/>
    </w:rPr>
  </w:style>
  <w:style w:type="character" w:styleId="13">
    <w:name w:val="page number"/>
    <w:autoRedefine/>
    <w:qFormat/>
    <w:uiPriority w:val="0"/>
  </w:style>
  <w:style w:type="character" w:styleId="14">
    <w:name w:val="FollowedHyperlink"/>
    <w:autoRedefine/>
    <w:unhideWhenUsed/>
    <w:qFormat/>
    <w:uiPriority w:val="99"/>
    <w:rPr>
      <w:rFonts w:ascii="Tahoma" w:hAnsi="Tahoma"/>
      <w:color w:val="954F72"/>
      <w:sz w:val="24"/>
      <w:szCs w:val="20"/>
      <w:u w:val="single"/>
    </w:rPr>
  </w:style>
  <w:style w:type="character" w:styleId="15">
    <w:name w:val="Hyperlink"/>
    <w:autoRedefine/>
    <w:qFormat/>
    <w:uiPriority w:val="0"/>
    <w:rPr>
      <w:color w:val="0000FF"/>
      <w:u w:val="single"/>
    </w:rPr>
  </w:style>
  <w:style w:type="character" w:customStyle="1" w:styleId="16">
    <w:name w:val="正文文本缩进 字符"/>
    <w:link w:val="3"/>
    <w:autoRedefine/>
    <w:qFormat/>
    <w:uiPriority w:val="0"/>
    <w:rPr>
      <w:rFonts w:hint="default" w:ascii="Calibri" w:hAnsi="Calibri" w:cs="Calibri"/>
      <w:kern w:val="2"/>
      <w:sz w:val="21"/>
      <w:szCs w:val="21"/>
    </w:rPr>
  </w:style>
  <w:style w:type="character" w:customStyle="1" w:styleId="17">
    <w:name w:val="批注框文本 字符"/>
    <w:link w:val="5"/>
    <w:autoRedefine/>
    <w:semiHidden/>
    <w:qFormat/>
    <w:uiPriority w:val="0"/>
    <w:rPr>
      <w:rFonts w:ascii="仿宋_GB2312" w:eastAsia="仿宋_GB2312"/>
      <w:color w:val="000000"/>
      <w:sz w:val="18"/>
      <w:szCs w:val="18"/>
    </w:rPr>
  </w:style>
  <w:style w:type="character" w:customStyle="1" w:styleId="18">
    <w:name w:val="页脚 字符"/>
    <w:link w:val="6"/>
    <w:autoRedefine/>
    <w:qFormat/>
    <w:uiPriority w:val="0"/>
    <w:rPr>
      <w:rFonts w:ascii="仿宋_GB2312" w:eastAsia="仿宋_GB2312"/>
      <w:color w:val="000000"/>
      <w:sz w:val="18"/>
      <w:szCs w:val="18"/>
    </w:rPr>
  </w:style>
  <w:style w:type="character" w:customStyle="1" w:styleId="19">
    <w:name w:val="页眉 字符"/>
    <w:link w:val="7"/>
    <w:autoRedefine/>
    <w:qFormat/>
    <w:uiPriority w:val="0"/>
    <w:rPr>
      <w:rFonts w:ascii="仿宋_GB2312" w:eastAsia="仿宋_GB2312"/>
      <w:color w:val="000000"/>
      <w:sz w:val="18"/>
      <w:szCs w:val="18"/>
    </w:rPr>
  </w:style>
  <w:style w:type="character" w:customStyle="1" w:styleId="20">
    <w:name w:val="da1"/>
    <w:autoRedefine/>
    <w:qFormat/>
    <w:uiPriority w:val="0"/>
    <w:rPr>
      <w:rFonts w:ascii="_x000B__x000C_" w:hAnsi="_x000B__x000C_"/>
      <w:strike/>
      <w:spacing w:val="360"/>
      <w:sz w:val="21"/>
      <w:u w:val="none"/>
    </w:rPr>
  </w:style>
  <w:style w:type="character" w:customStyle="1" w:styleId="21">
    <w:name w:val="font11"/>
    <w:autoRedefine/>
    <w:qFormat/>
    <w:uiPriority w:val="0"/>
    <w:rPr>
      <w:rFonts w:hint="default" w:ascii="Times New Roman" w:hAnsi="Times New Roman" w:cs="Times New Roman"/>
      <w:color w:val="000000"/>
      <w:sz w:val="21"/>
      <w:szCs w:val="21"/>
      <w:u w:val="none"/>
    </w:rPr>
  </w:style>
  <w:style w:type="character" w:customStyle="1" w:styleId="22">
    <w:name w:val="正文文本首行缩进 2 字符"/>
    <w:autoRedefine/>
    <w:qFormat/>
    <w:uiPriority w:val="0"/>
    <w:rPr>
      <w:rFonts w:hint="default" w:ascii="Calibri" w:hAnsi="Calibri" w:cs="Calibri"/>
      <w:kern w:val="2"/>
      <w:sz w:val="21"/>
      <w:szCs w:val="21"/>
    </w:rPr>
  </w:style>
  <w:style w:type="paragraph" w:customStyle="1" w:styleId="23">
    <w:name w:val="Char Char Char Char"/>
    <w:basedOn w:val="1"/>
    <w:autoRedefine/>
    <w:qFormat/>
    <w:uiPriority w:val="0"/>
    <w:rPr>
      <w:rFonts w:ascii="Times New Roman" w:eastAsia="宋体"/>
      <w:color w:val="auto"/>
      <w:kern w:val="2"/>
      <w:sz w:val="21"/>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 首行缩进:  0.99 厘米"/>
    <w:basedOn w:val="1"/>
    <w:autoRedefine/>
    <w:qFormat/>
    <w:uiPriority w:val="0"/>
    <w:pPr>
      <w:spacing w:line="360" w:lineRule="auto"/>
      <w:ind w:firstLine="560"/>
    </w:pPr>
    <w:rPr>
      <w:rFonts w:ascii="Times New Roman" w:cs="宋体"/>
      <w:color w:val="auto"/>
      <w:szCs w:val="20"/>
    </w:rPr>
  </w:style>
  <w:style w:type="paragraph" w:customStyle="1" w:styleId="26">
    <w:name w:val="Char Char Char Char Char Char Char"/>
    <w:basedOn w:val="1"/>
    <w:autoRedefine/>
    <w:qFormat/>
    <w:uiPriority w:val="0"/>
    <w:rPr>
      <w:rFonts w:ascii="Times New Roman" w:eastAsia="宋体"/>
      <w:color w:val="auto"/>
      <w:kern w:val="2"/>
      <w:sz w:val="21"/>
      <w:szCs w:val="24"/>
    </w:rPr>
  </w:style>
  <w:style w:type="paragraph" w:customStyle="1" w:styleId="27">
    <w:name w:val="Char Char Char Char Char Char Char Char Char Char Char Char Char"/>
    <w:basedOn w:val="1"/>
    <w:autoRedefine/>
    <w:qFormat/>
    <w:uiPriority w:val="0"/>
    <w:rPr>
      <w:rFonts w:ascii="Times New Roman" w:eastAsia="宋体"/>
      <w:color w:val="auto"/>
      <w:kern w:val="2"/>
      <w:sz w:val="21"/>
      <w:szCs w:val="24"/>
    </w:rPr>
  </w:style>
  <w:style w:type="paragraph" w:customStyle="1" w:styleId="28">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1226</Words>
  <Characters>1552</Characters>
  <Lines>95</Lines>
  <Paragraphs>26</Paragraphs>
  <TotalTime>11</TotalTime>
  <ScaleCrop>false</ScaleCrop>
  <LinksUpToDate>false</LinksUpToDate>
  <CharactersWithSpaces>1594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2024-04-08T08:23:17Z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6EF5A39DF4604F5BB712ABE7765383BB_13</vt:lpwstr>
  </property>
</Properties>
</file>