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0EFCE">
      <w:pPr>
        <w:rPr>
          <w:rFonts w:hint="default" w:ascii="Times New Roman" w:hAnsi="Times New Roman" w:eastAsia="宋体"/>
          <w:color w:val="FF0000"/>
          <w:lang w:val="en-US" w:eastAsia="zh-CN"/>
        </w:rPr>
      </w:pPr>
      <w:r>
        <w:rPr>
          <w:rFonts w:ascii="Times New Roman" w:hAnsi="Times New Roman"/>
        </w:rPr>
        <w:t xml:space="preserve">证券代码：000875         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证券简称：吉电股份    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公告编号：</w:t>
      </w:r>
      <w:r>
        <w:rPr>
          <w:rFonts w:hint="eastAsia" w:ascii="Times New Roman" w:hAnsi="Times New Roman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 w:ascii="Times New Roman" w:hAnsi="Times New Roman"/>
        </w:rPr>
        <w:t>-0</w:t>
      </w:r>
      <w:r>
        <w:rPr>
          <w:rFonts w:hint="eastAsia"/>
          <w:lang w:val="en-US" w:eastAsia="zh-CN"/>
        </w:rPr>
        <w:t>57</w:t>
      </w:r>
    </w:p>
    <w:p w14:paraId="340AB0A5">
      <w:pPr>
        <w:rPr>
          <w:rFonts w:hint="eastAsia" w:ascii="Times New Roman" w:hAnsi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color w:val="FF66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42545</wp:posOffset>
                </wp:positionV>
                <wp:extent cx="5417820" cy="22860"/>
                <wp:effectExtent l="0" t="28575" r="7620" b="4000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7820" cy="2286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66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-8.55pt;margin-top:3.35pt;height:1.8pt;width:426.6pt;z-index:251659264;mso-width-relative:page;mso-height-relative:page;" filled="f" stroked="t" coordsize="21600,21600" o:gfxdata="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8J09EdUAAAAIAQAADwAAAAAAAAABACAAAAAiAAAAZHJzL2Rvd25yZXYueG1sUEsB&#10;AhQAFAAAAAgAh07iQK+t7N/4AQAA8AMAAA4AAAAAAAAAAQAgAAAAJAEAAGRycy9lMm9Eb2MueG1s&#10;UEsFBgAAAAAGAAYAWQEAAI4FAAAAAA==&#10;">
                <v:fill on="f" focussize="0,0"/>
                <v:stroke weight="4.5pt" color="#FF6600" linestyle="thinThick" joinstyle="round"/>
                <v:imagedata o:title=""/>
                <o:lock v:ext="edit" aspectratio="f"/>
              </v:line>
            </w:pict>
          </mc:Fallback>
        </mc:AlternateContent>
      </w:r>
    </w:p>
    <w:p w14:paraId="775DA437">
      <w:pPr>
        <w:jc w:val="center"/>
        <w:rPr>
          <w:rFonts w:hint="eastAsia" w:ascii="Times New Roman" w:hAnsi="Times New Roman" w:cs="宋体"/>
          <w:b/>
          <w:sz w:val="44"/>
          <w:szCs w:val="44"/>
        </w:rPr>
      </w:pPr>
      <w:r>
        <w:rPr>
          <w:rFonts w:hint="eastAsia" w:ascii="Times New Roman" w:hAnsi="Times New Roman" w:cs="宋体"/>
          <w:b/>
          <w:sz w:val="44"/>
          <w:szCs w:val="44"/>
        </w:rPr>
        <w:t>吉林电力股份有限公司</w:t>
      </w:r>
    </w:p>
    <w:p w14:paraId="4557297E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 w:cs="宋体"/>
          <w:b/>
          <w:sz w:val="44"/>
          <w:szCs w:val="44"/>
        </w:rPr>
        <w:t>第九届监事会第</w:t>
      </w:r>
      <w:r>
        <w:rPr>
          <w:rFonts w:hint="eastAsia" w:cs="宋体"/>
          <w:b/>
          <w:sz w:val="44"/>
          <w:szCs w:val="44"/>
          <w:lang w:val="en-US" w:eastAsia="zh-CN"/>
        </w:rPr>
        <w:t>十三</w:t>
      </w:r>
      <w:r>
        <w:rPr>
          <w:rFonts w:hint="eastAsia" w:ascii="Times New Roman" w:hAnsi="Times New Roman" w:cs="宋体"/>
          <w:b/>
          <w:sz w:val="44"/>
          <w:szCs w:val="44"/>
        </w:rPr>
        <w:t>次会议决议公告</w:t>
      </w:r>
    </w:p>
    <w:p w14:paraId="70BB00BC">
      <w:pPr>
        <w:jc w:val="center"/>
        <w:rPr>
          <w:rFonts w:hint="eastAsia" w:ascii="Times New Roman" w:hAnsi="Times New Roman" w:eastAsia="仿宋_GB2312"/>
          <w:sz w:val="32"/>
          <w:szCs w:val="32"/>
        </w:rPr>
      </w:pPr>
    </w:p>
    <w:p w14:paraId="34191107">
      <w:pPr>
        <w:ind w:firstLine="562" w:firstLineChars="200"/>
        <w:rPr>
          <w:rFonts w:ascii="Times New Roman" w:hAnsi="Times New Roman" w:eastAsia="仿宋"/>
          <w:b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本公司及监事会全体成员保证</w:t>
      </w:r>
      <w:r>
        <w:rPr>
          <w:rFonts w:hint="eastAsia" w:ascii="Times New Roman" w:hAnsi="Times New Roman" w:eastAsia="仿宋"/>
          <w:b/>
          <w:sz w:val="28"/>
          <w:szCs w:val="28"/>
        </w:rPr>
        <w:t>信息披露</w:t>
      </w:r>
      <w:r>
        <w:rPr>
          <w:rFonts w:ascii="Times New Roman" w:hAnsi="Times New Roman" w:eastAsia="仿宋"/>
          <w:b/>
          <w:sz w:val="28"/>
          <w:szCs w:val="28"/>
        </w:rPr>
        <w:t>内容的真实、准确</w:t>
      </w:r>
      <w:r>
        <w:rPr>
          <w:rFonts w:hint="eastAsia" w:ascii="Times New Roman" w:hAnsi="Times New Roman" w:eastAsia="仿宋"/>
          <w:b/>
          <w:sz w:val="28"/>
          <w:szCs w:val="28"/>
        </w:rPr>
        <w:t>和</w:t>
      </w:r>
      <w:r>
        <w:rPr>
          <w:rFonts w:ascii="Times New Roman" w:hAnsi="Times New Roman" w:eastAsia="仿宋"/>
          <w:b/>
          <w:sz w:val="28"/>
          <w:szCs w:val="28"/>
        </w:rPr>
        <w:t>完整，没有虚假记载、误导性陈述或重大遗漏。</w:t>
      </w:r>
    </w:p>
    <w:p w14:paraId="2DFC78C8">
      <w:pPr>
        <w:jc w:val="center"/>
        <w:rPr>
          <w:rFonts w:ascii="Times New Roman" w:hAnsi="Times New Roman" w:eastAsia="仿宋"/>
          <w:sz w:val="32"/>
          <w:szCs w:val="32"/>
        </w:rPr>
      </w:pPr>
    </w:p>
    <w:p w14:paraId="2F1AAF7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562" w:firstLineChars="200"/>
        <w:textAlignment w:val="auto"/>
        <w:rPr>
          <w:rFonts w:ascii="Times New Roman" w:hAnsi="Times New Roman" w:eastAsia="仿宋"/>
          <w:b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一、监事会会议召开情况</w:t>
      </w:r>
    </w:p>
    <w:p w14:paraId="577EF5F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560" w:firstLineChars="200"/>
        <w:textAlignment w:val="auto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1.吉林电力股份有限公司第</w:t>
      </w:r>
      <w:r>
        <w:rPr>
          <w:rFonts w:hint="eastAsia" w:ascii="Times New Roman" w:hAnsi="Times New Roman" w:eastAsia="仿宋"/>
          <w:sz w:val="28"/>
          <w:szCs w:val="28"/>
        </w:rPr>
        <w:t>九</w:t>
      </w:r>
      <w:r>
        <w:rPr>
          <w:rFonts w:ascii="Times New Roman" w:hAnsi="Times New Roman" w:eastAsia="仿宋"/>
          <w:sz w:val="28"/>
          <w:szCs w:val="28"/>
        </w:rPr>
        <w:t>届监事会第</w:t>
      </w:r>
      <w:r>
        <w:rPr>
          <w:rFonts w:hint="eastAsia" w:eastAsia="仿宋"/>
          <w:sz w:val="28"/>
          <w:szCs w:val="28"/>
          <w:lang w:val="en-US" w:eastAsia="zh-CN"/>
        </w:rPr>
        <w:t>十三</w:t>
      </w:r>
      <w:r>
        <w:rPr>
          <w:rFonts w:ascii="Times New Roman" w:hAnsi="Times New Roman" w:eastAsia="仿宋"/>
          <w:sz w:val="28"/>
          <w:szCs w:val="28"/>
        </w:rPr>
        <w:t>次会议通知于202</w:t>
      </w:r>
      <w:r>
        <w:rPr>
          <w:rFonts w:hint="eastAsia" w:eastAsia="仿宋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"/>
          <w:sz w:val="28"/>
          <w:szCs w:val="28"/>
        </w:rPr>
        <w:t>年</w:t>
      </w:r>
      <w:r>
        <w:rPr>
          <w:rFonts w:hint="eastAsia" w:eastAsia="仿宋"/>
          <w:sz w:val="28"/>
          <w:szCs w:val="28"/>
          <w:lang w:val="en-US" w:eastAsia="zh-CN"/>
        </w:rPr>
        <w:t>7</w:t>
      </w:r>
      <w:r>
        <w:rPr>
          <w:rFonts w:ascii="Times New Roman" w:hAnsi="Times New Roman" w:eastAsia="仿宋"/>
          <w:sz w:val="28"/>
          <w:szCs w:val="28"/>
        </w:rPr>
        <w:t>月</w:t>
      </w:r>
      <w:r>
        <w:rPr>
          <w:rFonts w:hint="eastAsia" w:eastAsia="仿宋"/>
          <w:sz w:val="28"/>
          <w:szCs w:val="28"/>
          <w:lang w:val="en-US" w:eastAsia="zh-CN"/>
        </w:rPr>
        <w:t>19</w:t>
      </w:r>
      <w:r>
        <w:rPr>
          <w:rFonts w:ascii="Times New Roman" w:hAnsi="Times New Roman" w:eastAsia="仿宋"/>
          <w:sz w:val="28"/>
          <w:szCs w:val="28"/>
        </w:rPr>
        <w:t>日以电子邮件</w:t>
      </w:r>
      <w:r>
        <w:rPr>
          <w:rFonts w:hint="eastAsia" w:ascii="Times New Roman" w:hAnsi="Times New Roman" w:eastAsia="仿宋"/>
          <w:sz w:val="28"/>
          <w:szCs w:val="28"/>
        </w:rPr>
        <w:t>等</w:t>
      </w:r>
      <w:r>
        <w:rPr>
          <w:rFonts w:ascii="Times New Roman" w:hAnsi="Times New Roman" w:eastAsia="仿宋"/>
          <w:sz w:val="28"/>
          <w:szCs w:val="28"/>
        </w:rPr>
        <w:t>方式发出。</w:t>
      </w:r>
    </w:p>
    <w:p w14:paraId="48E98E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548" w:firstLineChars="196"/>
        <w:jc w:val="left"/>
        <w:rPr>
          <w:rFonts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2. 202</w:t>
      </w:r>
      <w:r>
        <w:rPr>
          <w:rFonts w:hint="eastAsia" w:eastAsia="仿宋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"/>
          <w:sz w:val="28"/>
          <w:szCs w:val="28"/>
        </w:rPr>
        <w:t>年</w:t>
      </w:r>
      <w:r>
        <w:rPr>
          <w:rFonts w:hint="eastAsia" w:eastAsia="仿宋"/>
          <w:sz w:val="28"/>
          <w:szCs w:val="28"/>
          <w:lang w:val="en-US" w:eastAsia="zh-CN"/>
        </w:rPr>
        <w:t>7</w:t>
      </w:r>
      <w:r>
        <w:rPr>
          <w:rFonts w:ascii="Times New Roman" w:hAnsi="Times New Roman" w:eastAsia="仿宋"/>
          <w:sz w:val="28"/>
          <w:szCs w:val="28"/>
        </w:rPr>
        <w:t>月2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仿宋"/>
          <w:sz w:val="28"/>
          <w:szCs w:val="28"/>
        </w:rPr>
        <w:t>日，第</w:t>
      </w:r>
      <w:r>
        <w:rPr>
          <w:rFonts w:hint="eastAsia" w:ascii="Times New Roman" w:hAnsi="Times New Roman" w:eastAsia="仿宋"/>
          <w:sz w:val="28"/>
          <w:szCs w:val="28"/>
        </w:rPr>
        <w:t>九</w:t>
      </w:r>
      <w:r>
        <w:rPr>
          <w:rFonts w:ascii="Times New Roman" w:hAnsi="Times New Roman" w:eastAsia="仿宋"/>
          <w:sz w:val="28"/>
          <w:szCs w:val="28"/>
        </w:rPr>
        <w:t>届监事会第</w:t>
      </w:r>
      <w:r>
        <w:rPr>
          <w:rFonts w:hint="eastAsia" w:eastAsia="仿宋"/>
          <w:sz w:val="28"/>
          <w:szCs w:val="28"/>
          <w:lang w:val="en-US" w:eastAsia="zh-CN"/>
        </w:rPr>
        <w:t>十三</w:t>
      </w:r>
      <w:r>
        <w:rPr>
          <w:rFonts w:ascii="Times New Roman" w:hAnsi="Times New Roman" w:eastAsia="仿宋"/>
          <w:sz w:val="28"/>
          <w:szCs w:val="28"/>
        </w:rPr>
        <w:t>次会议</w:t>
      </w:r>
      <w:r>
        <w:rPr>
          <w:rFonts w:eastAsia="仿宋"/>
          <w:sz w:val="28"/>
          <w:szCs w:val="28"/>
        </w:rPr>
        <w:t>在</w:t>
      </w:r>
      <w:r>
        <w:rPr>
          <w:rFonts w:hint="eastAsia" w:eastAsia="仿宋"/>
          <w:sz w:val="28"/>
          <w:szCs w:val="28"/>
          <w:lang w:val="en-US" w:eastAsia="zh-CN"/>
        </w:rPr>
        <w:t>公司</w:t>
      </w:r>
      <w:r>
        <w:rPr>
          <w:rFonts w:eastAsia="仿宋"/>
          <w:sz w:val="28"/>
          <w:szCs w:val="28"/>
        </w:rPr>
        <w:t>会议室以现场会议方式召开。</w:t>
      </w:r>
    </w:p>
    <w:p w14:paraId="28ECF15F">
      <w:pPr>
        <w:keepNext w:val="0"/>
        <w:keepLines w:val="0"/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560" w:firstLineChars="200"/>
        <w:textAlignment w:val="auto"/>
        <w:rPr>
          <w:rFonts w:ascii="Times New Roman" w:hAnsi="Times New Roman" w:eastAsia="仿宋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  <w:lang w:bidi="ar"/>
        </w:rPr>
        <w:t>3.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bidi="ar"/>
        </w:rPr>
        <w:t>公司应参会监事</w:t>
      </w: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5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bidi="ar"/>
        </w:rPr>
        <w:t>人，实参会监事</w:t>
      </w:r>
      <w:r>
        <w:rPr>
          <w:rFonts w:hint="eastAsia" w:ascii="Times New Roman" w:hAnsi="Times New Roman" w:eastAsia="仿宋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bidi="ar"/>
        </w:rPr>
        <w:t>人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eastAsia="zh-CN" w:bidi="ar"/>
        </w:rPr>
        <w:t>，监事会主席</w:t>
      </w:r>
      <w:r>
        <w:rPr>
          <w:rFonts w:hint="eastAsia" w:eastAsia="仿宋" w:cs="仿宋"/>
          <w:color w:val="000000"/>
          <w:kern w:val="0"/>
          <w:sz w:val="28"/>
          <w:szCs w:val="28"/>
          <w:lang w:val="en-US" w:eastAsia="zh-CN" w:bidi="ar"/>
        </w:rPr>
        <w:t>徐祖永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eastAsia="zh-CN" w:bidi="ar"/>
        </w:rPr>
        <w:t>先生因公无法出席本次会议，全权委托监事</w:t>
      </w:r>
      <w:r>
        <w:rPr>
          <w:rFonts w:hint="eastAsia" w:eastAsia="仿宋" w:cs="仿宋"/>
          <w:color w:val="000000"/>
          <w:kern w:val="0"/>
          <w:sz w:val="28"/>
          <w:szCs w:val="28"/>
          <w:lang w:val="en-US" w:eastAsia="zh-CN" w:bidi="ar"/>
        </w:rPr>
        <w:t>孔辉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eastAsia="zh-CN" w:bidi="ar"/>
        </w:rPr>
        <w:t>先生代为表决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bidi="ar"/>
        </w:rPr>
        <w:t>。</w:t>
      </w:r>
    </w:p>
    <w:p w14:paraId="3496674D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spacing w:line="580" w:lineRule="exact"/>
        <w:ind w:firstLine="560" w:firstLineChars="200"/>
        <w:jc w:val="left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"/>
          <w:color w:val="000000"/>
          <w:kern w:val="0"/>
          <w:sz w:val="28"/>
          <w:szCs w:val="28"/>
        </w:rPr>
        <w:t>4.经半数以上</w:t>
      </w:r>
      <w:r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  <w:t>监</w:t>
      </w:r>
      <w:r>
        <w:rPr>
          <w:rFonts w:hint="eastAsia" w:ascii="Times New Roman" w:hAnsi="Times New Roman" w:eastAsia="仿宋"/>
          <w:color w:val="000000"/>
          <w:kern w:val="0"/>
          <w:sz w:val="28"/>
          <w:szCs w:val="28"/>
        </w:rPr>
        <w:t>事推举，由</w:t>
      </w:r>
      <w:r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  <w:t>监事孔辉</w:t>
      </w:r>
      <w:r>
        <w:rPr>
          <w:rFonts w:hint="eastAsia" w:ascii="Times New Roman" w:hAnsi="Times New Roman" w:eastAsia="仿宋"/>
          <w:color w:val="000000"/>
          <w:kern w:val="0"/>
          <w:sz w:val="28"/>
          <w:szCs w:val="28"/>
        </w:rPr>
        <w:t>先生主持本次会议。</w:t>
      </w:r>
    </w:p>
    <w:p w14:paraId="3148E83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560" w:firstLineChars="200"/>
        <w:textAlignment w:val="auto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5.</w:t>
      </w:r>
      <w:r>
        <w:rPr>
          <w:rFonts w:ascii="Times New Roman" w:hAnsi="Times New Roman" w:eastAsia="仿宋"/>
          <w:sz w:val="28"/>
          <w:szCs w:val="28"/>
        </w:rPr>
        <w:t>出席会议的监事占公司全体监事人数的二分之一以上，符合《公司法》及公司《章程》的规定。</w:t>
      </w:r>
    </w:p>
    <w:p w14:paraId="5DB0A76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562" w:firstLineChars="200"/>
        <w:textAlignment w:val="auto"/>
        <w:rPr>
          <w:rFonts w:ascii="Times New Roman" w:hAnsi="Times New Roman" w:eastAsia="仿宋"/>
          <w:b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二、监事会会议审议情况</w:t>
      </w:r>
    </w:p>
    <w:p w14:paraId="584D118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562" w:firstLineChars="200"/>
        <w:textAlignment w:val="auto"/>
        <w:rPr>
          <w:rFonts w:hint="eastAsia" w:ascii="Times New Roman" w:hAnsi="Times New Roman" w:eastAsia="仿宋" w:cs="仿宋"/>
          <w:b/>
          <w:sz w:val="28"/>
          <w:szCs w:val="28"/>
        </w:rPr>
      </w:pPr>
      <w:r>
        <w:rPr>
          <w:rFonts w:hint="eastAsia" w:ascii="Times New Roman" w:hAnsi="Times New Roman" w:eastAsia="仿宋" w:cs="仿宋"/>
          <w:b/>
          <w:sz w:val="28"/>
          <w:szCs w:val="28"/>
        </w:rPr>
        <w:t>（一）</w:t>
      </w:r>
      <w:r>
        <w:rPr>
          <w:rFonts w:hint="eastAsia" w:ascii="Times New Roman" w:hAnsi="Times New Roman" w:eastAsia="仿宋"/>
          <w:b/>
          <w:bCs/>
          <w:sz w:val="28"/>
          <w:szCs w:val="28"/>
        </w:rPr>
        <w:t>公司202</w:t>
      </w:r>
      <w:r>
        <w:rPr>
          <w:rFonts w:hint="eastAsia" w:ascii="Times New Roman" w:hAnsi="Times New Roman" w:eastAsia="仿宋"/>
          <w:b/>
          <w:bCs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"/>
          <w:b/>
          <w:bCs/>
          <w:sz w:val="28"/>
          <w:szCs w:val="28"/>
        </w:rPr>
        <w:t>年</w:t>
      </w:r>
      <w:r>
        <w:rPr>
          <w:rFonts w:hint="eastAsia" w:ascii="Times New Roman" w:hAnsi="Times New Roman" w:eastAsia="仿宋"/>
          <w:b/>
          <w:bCs/>
          <w:sz w:val="28"/>
          <w:szCs w:val="28"/>
          <w:lang w:val="en-US" w:eastAsia="zh-CN"/>
        </w:rPr>
        <w:t>半年</w:t>
      </w:r>
      <w:r>
        <w:rPr>
          <w:rFonts w:hint="eastAsia" w:ascii="Times New Roman" w:hAnsi="Times New Roman" w:eastAsia="仿宋"/>
          <w:b/>
          <w:bCs/>
          <w:sz w:val="28"/>
          <w:szCs w:val="28"/>
        </w:rPr>
        <w:t>度利润分配预案</w:t>
      </w:r>
    </w:p>
    <w:p w14:paraId="3E72B14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560" w:firstLineChars="200"/>
        <w:textAlignment w:val="auto"/>
        <w:rPr>
          <w:rFonts w:hint="eastAsia" w:ascii="Times New Roman" w:hAnsi="Times New Roman" w:eastAsia="仿宋" w:cs="仿宋"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仿宋"/>
          <w:sz w:val="28"/>
          <w:szCs w:val="28"/>
          <w:highlight w:val="none"/>
        </w:rPr>
        <w:t>会议以5票赞同、0票反对、0票弃权，</w:t>
      </w:r>
      <w:r>
        <w:rPr>
          <w:rFonts w:ascii="Times New Roman" w:hAnsi="Times New Roman" w:eastAsia="仿宋"/>
          <w:color w:val="000000"/>
          <w:sz w:val="28"/>
          <w:szCs w:val="28"/>
          <w:highlight w:val="none"/>
        </w:rPr>
        <w:t>通过了</w:t>
      </w:r>
      <w:r>
        <w:rPr>
          <w:rFonts w:hint="eastAsia" w:ascii="Times New Roman" w:hAnsi="Times New Roman" w:eastAsia="仿宋"/>
          <w:color w:val="000000"/>
          <w:sz w:val="28"/>
          <w:szCs w:val="28"/>
          <w:highlight w:val="none"/>
        </w:rPr>
        <w:t>《</w:t>
      </w:r>
      <w:r>
        <w:rPr>
          <w:rFonts w:ascii="Times New Roman" w:hAnsi="Times New Roman" w:eastAsia="仿宋"/>
          <w:color w:val="000000"/>
          <w:sz w:val="28"/>
          <w:szCs w:val="28"/>
          <w:highlight w:val="none"/>
        </w:rPr>
        <w:t>公司</w:t>
      </w:r>
      <w:r>
        <w:rPr>
          <w:rFonts w:ascii="Times New Roman" w:hAnsi="Times New Roman" w:eastAsia="仿宋"/>
          <w:bCs/>
          <w:color w:val="000000"/>
          <w:sz w:val="28"/>
          <w:szCs w:val="28"/>
          <w:highlight w:val="none"/>
        </w:rPr>
        <w:t>20</w:t>
      </w:r>
      <w:r>
        <w:rPr>
          <w:rFonts w:hint="eastAsia" w:ascii="Times New Roman" w:hAnsi="Times New Roman" w:eastAsia="仿宋"/>
          <w:bCs/>
          <w:color w:val="000000"/>
          <w:sz w:val="28"/>
          <w:szCs w:val="28"/>
          <w:highlight w:val="none"/>
          <w:lang w:val="en-US" w:eastAsia="zh-CN"/>
        </w:rPr>
        <w:t>24</w:t>
      </w:r>
      <w:r>
        <w:rPr>
          <w:rFonts w:ascii="Times New Roman" w:hAnsi="Times New Roman" w:eastAsia="仿宋"/>
          <w:bCs/>
          <w:color w:val="000000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仿宋"/>
          <w:bCs/>
          <w:color w:val="000000"/>
          <w:sz w:val="28"/>
          <w:szCs w:val="28"/>
          <w:highlight w:val="none"/>
          <w:lang w:val="en-US" w:eastAsia="zh-CN"/>
        </w:rPr>
        <w:t>半年</w:t>
      </w:r>
      <w:r>
        <w:rPr>
          <w:rFonts w:ascii="Times New Roman" w:hAnsi="Times New Roman" w:eastAsia="仿宋"/>
          <w:bCs/>
          <w:color w:val="000000"/>
          <w:sz w:val="28"/>
          <w:szCs w:val="28"/>
          <w:highlight w:val="none"/>
        </w:rPr>
        <w:t>度利</w:t>
      </w:r>
      <w:r>
        <w:rPr>
          <w:rFonts w:hint="eastAsia" w:ascii="Times New Roman" w:hAnsi="Times New Roman" w:eastAsia="仿宋" w:cs="仿宋"/>
          <w:bCs/>
          <w:color w:val="000000"/>
          <w:sz w:val="28"/>
          <w:szCs w:val="28"/>
          <w:highlight w:val="none"/>
        </w:rPr>
        <w:t>润分配预案》。</w:t>
      </w:r>
    </w:p>
    <w:p w14:paraId="506DC912">
      <w:pPr>
        <w:spacing w:line="600" w:lineRule="exact"/>
        <w:ind w:firstLine="560" w:firstLineChars="200"/>
        <w:rPr>
          <w:rFonts w:hint="eastAsia" w:ascii="Times New Roman" w:hAnsi="Times New Roman" w:eastAsia="仿宋" w:cs="Times New Roman"/>
          <w:bCs/>
          <w:color w:val="000000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</w:pPr>
      <w:r>
        <w:rPr>
          <w:rFonts w:hint="eastAsia" w:eastAsia="仿宋"/>
          <w:bCs/>
          <w:color w:val="000000"/>
          <w:sz w:val="28"/>
          <w:szCs w:val="28"/>
          <w:highlight w:val="none"/>
          <w:lang w:val="en-US" w:eastAsia="zh-CN"/>
        </w:rPr>
        <w:t>根据2024年半年度财务报告（未经审计），公司2024年1-6月合并报表中归属于母公司所有者的净利润为1,094,564,982.49元，合并口径净利润1,438,087,042.61元。截至2024年6月30日，公司合并报表可供分配利润为2,930,706,570.06元，母公司报表可供分配利润为884,234,570.61元。拟以公司现有总股本2,790,208,174股为基数，向全体股东每10股派发现金红利1.17元（含税），共计分配现金股利326,454,356.36元，占2024</w:t>
      </w:r>
      <w:bookmarkStart w:id="0" w:name="_GoBack"/>
      <w:bookmarkEnd w:id="0"/>
      <w:r>
        <w:rPr>
          <w:rFonts w:hint="eastAsia" w:eastAsia="仿宋"/>
          <w:bCs/>
          <w:color w:val="000000"/>
          <w:sz w:val="28"/>
          <w:szCs w:val="28"/>
          <w:highlight w:val="none"/>
          <w:lang w:val="en-US" w:eastAsia="zh-CN"/>
        </w:rPr>
        <w:t>年上半年归属于母公司所有者的净利润29.83%，不送红股，不以资本公积金转增股本。</w:t>
      </w:r>
    </w:p>
    <w:p w14:paraId="7CC9D736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公司监事会认为：董事会提出的 2024年半年度利润分配预案综合考虑了2024年半年度的盈利水平和整体财务状况，兼顾了股东的即期利益和长远利益，体现了公司积极回报股东、与全体股东分享公司成长的经营成果的原则。符合公司现状和当前运作的实际，也符合《公司法》《企业会计准则》《深圳证券交易所上市公司自律监管指引第 1 号——主板上市公司规范运作》《公司章程》等相关规定，不存在损害公司股东尤其是中小股东利益的情形。</w:t>
      </w:r>
    </w:p>
    <w:p w14:paraId="19F63004">
      <w:pPr>
        <w:spacing w:line="600" w:lineRule="exact"/>
        <w:ind w:firstLine="570"/>
        <w:rPr>
          <w:rFonts w:eastAsia="仿宋"/>
          <w:b/>
          <w:bCs/>
          <w:sz w:val="28"/>
          <w:szCs w:val="28"/>
        </w:rPr>
      </w:pPr>
      <w:r>
        <w:rPr>
          <w:rFonts w:hint="eastAsia" w:eastAsia="仿宋"/>
          <w:b/>
          <w:bCs/>
          <w:sz w:val="28"/>
          <w:szCs w:val="28"/>
          <w:lang w:eastAsia="zh-CN"/>
        </w:rPr>
        <w:t>（</w:t>
      </w:r>
      <w:r>
        <w:rPr>
          <w:rFonts w:hint="eastAsia" w:eastAsia="仿宋"/>
          <w:b/>
          <w:bCs/>
          <w:sz w:val="28"/>
          <w:szCs w:val="28"/>
          <w:lang w:val="en-US" w:eastAsia="zh-CN"/>
        </w:rPr>
        <w:t>二</w:t>
      </w:r>
      <w:r>
        <w:rPr>
          <w:rFonts w:hint="eastAsia" w:eastAsia="仿宋"/>
          <w:b/>
          <w:bCs/>
          <w:sz w:val="28"/>
          <w:szCs w:val="28"/>
          <w:lang w:eastAsia="zh-CN"/>
        </w:rPr>
        <w:t>）</w:t>
      </w:r>
      <w:r>
        <w:rPr>
          <w:rFonts w:eastAsia="仿宋"/>
          <w:b/>
          <w:bCs/>
          <w:sz w:val="28"/>
          <w:szCs w:val="28"/>
        </w:rPr>
        <w:t>公司202</w:t>
      </w:r>
      <w:r>
        <w:rPr>
          <w:rFonts w:hint="eastAsia" w:eastAsia="仿宋"/>
          <w:b/>
          <w:bCs/>
          <w:sz w:val="28"/>
          <w:szCs w:val="28"/>
          <w:lang w:val="en-US" w:eastAsia="zh-CN"/>
        </w:rPr>
        <w:t>4</w:t>
      </w:r>
      <w:r>
        <w:rPr>
          <w:rFonts w:eastAsia="仿宋"/>
          <w:b/>
          <w:bCs/>
          <w:sz w:val="28"/>
          <w:szCs w:val="28"/>
        </w:rPr>
        <w:t>年</w:t>
      </w:r>
      <w:r>
        <w:rPr>
          <w:rFonts w:hint="eastAsia" w:eastAsia="仿宋"/>
          <w:b/>
          <w:bCs/>
          <w:sz w:val="28"/>
          <w:szCs w:val="28"/>
          <w:lang w:val="en-US" w:eastAsia="zh-CN"/>
        </w:rPr>
        <w:t>半</w:t>
      </w:r>
      <w:r>
        <w:rPr>
          <w:rFonts w:eastAsia="仿宋"/>
          <w:b/>
          <w:bCs/>
          <w:sz w:val="28"/>
          <w:szCs w:val="28"/>
        </w:rPr>
        <w:t>年度报告及摘要</w:t>
      </w:r>
    </w:p>
    <w:p w14:paraId="51D1956D">
      <w:pPr>
        <w:spacing w:line="600" w:lineRule="exact"/>
        <w:ind w:firstLine="570"/>
        <w:rPr>
          <w:rFonts w:eastAsia="仿宋"/>
          <w:bCs/>
          <w:sz w:val="28"/>
          <w:szCs w:val="28"/>
        </w:rPr>
      </w:pPr>
      <w:r>
        <w:rPr>
          <w:rFonts w:eastAsia="仿宋"/>
          <w:sz w:val="28"/>
          <w:szCs w:val="28"/>
        </w:rPr>
        <w:t>会议以</w:t>
      </w:r>
      <w:r>
        <w:rPr>
          <w:rFonts w:hint="eastAsia" w:eastAsia="仿宋"/>
          <w:sz w:val="28"/>
          <w:szCs w:val="28"/>
          <w:lang w:val="en-US" w:eastAsia="zh-CN"/>
        </w:rPr>
        <w:t>5</w:t>
      </w:r>
      <w:r>
        <w:rPr>
          <w:rFonts w:eastAsia="仿宋"/>
          <w:sz w:val="28"/>
          <w:szCs w:val="28"/>
        </w:rPr>
        <w:t>票赞同、0票反对、0票弃权，通过了《公司202</w:t>
      </w:r>
      <w:r>
        <w:rPr>
          <w:rFonts w:hint="eastAsia" w:eastAsia="仿宋"/>
          <w:sz w:val="28"/>
          <w:szCs w:val="28"/>
          <w:lang w:val="en-US" w:eastAsia="zh-CN"/>
        </w:rPr>
        <w:t>4</w:t>
      </w:r>
      <w:r>
        <w:rPr>
          <w:rFonts w:eastAsia="仿宋"/>
          <w:sz w:val="28"/>
          <w:szCs w:val="28"/>
        </w:rPr>
        <w:t>年</w:t>
      </w:r>
      <w:r>
        <w:rPr>
          <w:rFonts w:hint="eastAsia" w:eastAsia="仿宋"/>
          <w:sz w:val="28"/>
          <w:szCs w:val="28"/>
          <w:lang w:val="en-US" w:eastAsia="zh-CN"/>
        </w:rPr>
        <w:t>半</w:t>
      </w:r>
      <w:r>
        <w:rPr>
          <w:rFonts w:eastAsia="仿宋"/>
          <w:sz w:val="28"/>
          <w:szCs w:val="28"/>
        </w:rPr>
        <w:t>年度报告及摘要》。</w:t>
      </w:r>
    </w:p>
    <w:p w14:paraId="2AA7AF5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570"/>
        <w:textAlignment w:val="auto"/>
        <w:rPr>
          <w:rFonts w:ascii="Times New Roman" w:hAnsi="Times New Roman" w:eastAsia="仿宋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" w:cs="仿宋"/>
          <w:bCs/>
          <w:color w:val="000000"/>
          <w:sz w:val="28"/>
          <w:szCs w:val="28"/>
        </w:rPr>
        <w:t>经审核，监事会认为董事会编制和审议公司</w:t>
      </w:r>
      <w:r>
        <w:rPr>
          <w:rFonts w:ascii="Times New Roman" w:hAnsi="Times New Roman" w:eastAsia="仿宋"/>
          <w:color w:val="000000"/>
          <w:sz w:val="28"/>
          <w:szCs w:val="28"/>
        </w:rPr>
        <w:t>20</w:t>
      </w:r>
      <w:r>
        <w:rPr>
          <w:rFonts w:hint="eastAsia" w:eastAsia="仿宋"/>
          <w:color w:val="000000"/>
          <w:sz w:val="28"/>
          <w:szCs w:val="28"/>
          <w:lang w:val="en-US" w:eastAsia="zh-CN"/>
        </w:rPr>
        <w:t>24</w:t>
      </w:r>
      <w:r>
        <w:rPr>
          <w:rFonts w:hint="eastAsia" w:ascii="Times New Roman" w:hAnsi="Times New Roman" w:eastAsia="仿宋" w:cs="仿宋"/>
          <w:bCs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仿宋" w:cs="仿宋"/>
          <w:bCs/>
          <w:color w:val="000000"/>
          <w:sz w:val="28"/>
          <w:szCs w:val="28"/>
          <w:lang w:val="en-US" w:eastAsia="zh-CN"/>
        </w:rPr>
        <w:t>半</w:t>
      </w:r>
      <w:r>
        <w:rPr>
          <w:rFonts w:hint="eastAsia" w:ascii="Times New Roman" w:hAnsi="Times New Roman" w:eastAsia="仿宋" w:cs="仿宋"/>
          <w:bCs/>
          <w:color w:val="000000"/>
          <w:sz w:val="28"/>
          <w:szCs w:val="28"/>
        </w:rPr>
        <w:t>年度报告的程序符合法律、行政法规及中国证监会的规定，报告内容真实、准确、</w:t>
      </w:r>
      <w:r>
        <w:rPr>
          <w:rFonts w:hint="eastAsia" w:ascii="Times New Roman" w:hAnsi="Times New Roman" w:eastAsia="仿宋"/>
          <w:bCs/>
          <w:color w:val="000000"/>
          <w:sz w:val="28"/>
          <w:szCs w:val="28"/>
        </w:rPr>
        <w:t>完整地反映了上市公司的实际情况，不存在虚假记载、误导性陈述或者重大遗漏。</w:t>
      </w:r>
    </w:p>
    <w:p w14:paraId="4FB8D482">
      <w:pPr>
        <w:spacing w:line="600" w:lineRule="exact"/>
        <w:ind w:firstLine="570"/>
        <w:rPr>
          <w:rFonts w:eastAsia="仿宋"/>
          <w:sz w:val="28"/>
          <w:szCs w:val="28"/>
        </w:rPr>
      </w:pPr>
      <w:r>
        <w:rPr>
          <w:rFonts w:eastAsia="仿宋"/>
          <w:bCs/>
          <w:sz w:val="28"/>
          <w:szCs w:val="28"/>
        </w:rPr>
        <w:t>具体内容详见同日刊载于巨潮资讯网上的《吉林电力股份有限公司202</w:t>
      </w:r>
      <w:r>
        <w:rPr>
          <w:rFonts w:hint="eastAsia" w:eastAsia="仿宋"/>
          <w:bCs/>
          <w:sz w:val="28"/>
          <w:szCs w:val="28"/>
          <w:lang w:val="en-US" w:eastAsia="zh-CN"/>
        </w:rPr>
        <w:t>4</w:t>
      </w:r>
      <w:r>
        <w:rPr>
          <w:rFonts w:eastAsia="仿宋"/>
          <w:bCs/>
          <w:sz w:val="28"/>
          <w:szCs w:val="28"/>
        </w:rPr>
        <w:t>年</w:t>
      </w:r>
      <w:r>
        <w:rPr>
          <w:rFonts w:hint="eastAsia" w:eastAsia="仿宋"/>
          <w:bCs/>
          <w:sz w:val="28"/>
          <w:szCs w:val="28"/>
          <w:lang w:val="en-US" w:eastAsia="zh-CN"/>
        </w:rPr>
        <w:t>半</w:t>
      </w:r>
      <w:r>
        <w:rPr>
          <w:rFonts w:eastAsia="仿宋"/>
          <w:bCs/>
          <w:sz w:val="28"/>
          <w:szCs w:val="28"/>
        </w:rPr>
        <w:t>年度报告》（202</w:t>
      </w:r>
      <w:r>
        <w:rPr>
          <w:rFonts w:hint="eastAsia" w:eastAsia="仿宋"/>
          <w:bCs/>
          <w:sz w:val="28"/>
          <w:szCs w:val="28"/>
          <w:lang w:val="en-US" w:eastAsia="zh-CN"/>
        </w:rPr>
        <w:t>4</w:t>
      </w:r>
      <w:r>
        <w:rPr>
          <w:rFonts w:eastAsia="仿宋"/>
          <w:bCs/>
          <w:sz w:val="28"/>
          <w:szCs w:val="28"/>
        </w:rPr>
        <w:t>-0</w:t>
      </w:r>
      <w:r>
        <w:rPr>
          <w:rFonts w:hint="eastAsia" w:eastAsia="仿宋"/>
          <w:bCs/>
          <w:sz w:val="28"/>
          <w:szCs w:val="28"/>
          <w:lang w:val="en-US" w:eastAsia="zh-CN"/>
        </w:rPr>
        <w:t>59</w:t>
      </w:r>
      <w:r>
        <w:rPr>
          <w:rFonts w:eastAsia="仿宋"/>
          <w:bCs/>
          <w:sz w:val="28"/>
          <w:szCs w:val="28"/>
        </w:rPr>
        <w:t>）和刊载于《中国证券报》《上海证券报》《证券时报》和巨潮资讯网上的《吉林电力股份有限公司202</w:t>
      </w:r>
      <w:r>
        <w:rPr>
          <w:rFonts w:hint="eastAsia" w:eastAsia="仿宋"/>
          <w:bCs/>
          <w:sz w:val="28"/>
          <w:szCs w:val="28"/>
          <w:lang w:val="en-US" w:eastAsia="zh-CN"/>
        </w:rPr>
        <w:t>4</w:t>
      </w:r>
      <w:r>
        <w:rPr>
          <w:rFonts w:eastAsia="仿宋"/>
          <w:bCs/>
          <w:sz w:val="28"/>
          <w:szCs w:val="28"/>
        </w:rPr>
        <w:t>年</w:t>
      </w:r>
      <w:r>
        <w:rPr>
          <w:rFonts w:hint="eastAsia" w:eastAsia="仿宋"/>
          <w:bCs/>
          <w:sz w:val="28"/>
          <w:szCs w:val="28"/>
          <w:lang w:val="en-US" w:eastAsia="zh-CN"/>
        </w:rPr>
        <w:t>半</w:t>
      </w:r>
      <w:r>
        <w:rPr>
          <w:rFonts w:eastAsia="仿宋"/>
          <w:bCs/>
          <w:sz w:val="28"/>
          <w:szCs w:val="28"/>
        </w:rPr>
        <w:t>年度报告摘要》（202</w:t>
      </w:r>
      <w:r>
        <w:rPr>
          <w:rFonts w:hint="eastAsia" w:eastAsia="仿宋"/>
          <w:bCs/>
          <w:sz w:val="28"/>
          <w:szCs w:val="28"/>
          <w:lang w:val="en-US" w:eastAsia="zh-CN"/>
        </w:rPr>
        <w:t>4</w:t>
      </w:r>
      <w:r>
        <w:rPr>
          <w:rFonts w:eastAsia="仿宋"/>
          <w:bCs/>
          <w:sz w:val="28"/>
          <w:szCs w:val="28"/>
        </w:rPr>
        <w:t>-0</w:t>
      </w:r>
      <w:r>
        <w:rPr>
          <w:rFonts w:hint="eastAsia" w:eastAsia="仿宋"/>
          <w:bCs/>
          <w:sz w:val="28"/>
          <w:szCs w:val="28"/>
          <w:lang w:val="en-US" w:eastAsia="zh-CN"/>
        </w:rPr>
        <w:t>60</w:t>
      </w:r>
      <w:r>
        <w:rPr>
          <w:rFonts w:eastAsia="仿宋"/>
          <w:bCs/>
          <w:sz w:val="28"/>
          <w:szCs w:val="28"/>
        </w:rPr>
        <w:t>）。</w:t>
      </w:r>
    </w:p>
    <w:p w14:paraId="093CC6B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562" w:firstLineChars="200"/>
        <w:textAlignment w:val="auto"/>
        <w:rPr>
          <w:rFonts w:ascii="Times New Roman" w:hAnsi="Times New Roman" w:eastAsia="仿宋"/>
          <w:b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（</w:t>
      </w:r>
      <w:r>
        <w:rPr>
          <w:rFonts w:hint="eastAsia" w:ascii="Times New Roman" w:hAnsi="Times New Roman" w:eastAsia="仿宋"/>
          <w:b/>
          <w:sz w:val="28"/>
          <w:szCs w:val="28"/>
          <w:lang w:val="en-US" w:eastAsia="zh-CN"/>
        </w:rPr>
        <w:t>三</w:t>
      </w:r>
      <w:r>
        <w:rPr>
          <w:rFonts w:ascii="Times New Roman" w:hAnsi="Times New Roman" w:eastAsia="仿宋"/>
          <w:b/>
          <w:sz w:val="28"/>
          <w:szCs w:val="28"/>
        </w:rPr>
        <w:t>）</w:t>
      </w:r>
      <w:r>
        <w:rPr>
          <w:rFonts w:hint="eastAsia" w:ascii="Times New Roman" w:hAnsi="Times New Roman" w:eastAsia="仿宋"/>
          <w:b/>
          <w:sz w:val="28"/>
          <w:szCs w:val="28"/>
        </w:rPr>
        <w:t>国家电</w:t>
      </w:r>
      <w:r>
        <w:rPr>
          <w:rFonts w:ascii="Times New Roman" w:hAnsi="Times New Roman" w:eastAsia="仿宋"/>
          <w:b/>
          <w:sz w:val="28"/>
          <w:szCs w:val="28"/>
        </w:rPr>
        <w:t>投</w:t>
      </w:r>
      <w:r>
        <w:rPr>
          <w:rFonts w:hint="eastAsia" w:ascii="Times New Roman" w:hAnsi="Times New Roman" w:eastAsia="仿宋"/>
          <w:b/>
          <w:sz w:val="28"/>
          <w:szCs w:val="28"/>
        </w:rPr>
        <w:t>集团</w:t>
      </w:r>
      <w:r>
        <w:rPr>
          <w:rFonts w:ascii="Times New Roman" w:hAnsi="Times New Roman" w:eastAsia="仿宋"/>
          <w:b/>
          <w:sz w:val="28"/>
          <w:szCs w:val="28"/>
        </w:rPr>
        <w:t>财务有限公司风险评估报告</w:t>
      </w:r>
    </w:p>
    <w:p w14:paraId="1D36AA1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560" w:firstLineChars="200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会议以5票赞同、0票反对、0票弃权，审议通过了《国家电投</w:t>
      </w:r>
      <w:r>
        <w:rPr>
          <w:rFonts w:hint="eastAsia" w:ascii="Times New Roman" w:hAnsi="Times New Roman" w:eastAsia="仿宋"/>
          <w:sz w:val="28"/>
          <w:szCs w:val="28"/>
        </w:rPr>
        <w:t>集团</w:t>
      </w:r>
      <w:r>
        <w:rPr>
          <w:rFonts w:ascii="Times New Roman" w:hAnsi="Times New Roman" w:eastAsia="仿宋"/>
          <w:sz w:val="28"/>
          <w:szCs w:val="28"/>
        </w:rPr>
        <w:t>财务有限公司风险评估报告》。</w:t>
      </w:r>
    </w:p>
    <w:p w14:paraId="11140FF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560" w:firstLineChars="200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监事会认为：公司董事会在审议此议案时，关联董事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李铁证</w:t>
      </w:r>
      <w:r>
        <w:rPr>
          <w:rFonts w:ascii="Times New Roman" w:hAnsi="Times New Roman" w:eastAsia="仿宋"/>
          <w:sz w:val="28"/>
          <w:szCs w:val="28"/>
        </w:rPr>
        <w:t>先生和</w:t>
      </w:r>
      <w:r>
        <w:rPr>
          <w:rFonts w:hint="eastAsia" w:ascii="Times New Roman" w:hAnsi="Times New Roman" w:eastAsia="仿宋"/>
          <w:sz w:val="28"/>
          <w:szCs w:val="28"/>
        </w:rPr>
        <w:t>廖剑波</w:t>
      </w:r>
      <w:r>
        <w:rPr>
          <w:rFonts w:ascii="Times New Roman" w:hAnsi="Times New Roman" w:eastAsia="仿宋"/>
          <w:sz w:val="28"/>
          <w:szCs w:val="28"/>
        </w:rPr>
        <w:t>先生履行了回避表决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的义务</w:t>
      </w:r>
      <w:r>
        <w:rPr>
          <w:rFonts w:ascii="Times New Roman" w:hAnsi="Times New Roman" w:eastAsia="仿宋"/>
          <w:sz w:val="28"/>
          <w:szCs w:val="28"/>
        </w:rPr>
        <w:t>，董事会审议程序符合相关规定，</w:t>
      </w:r>
      <w:r>
        <w:rPr>
          <w:rFonts w:hint="eastAsia" w:ascii="Times New Roman" w:hAnsi="Times New Roman" w:eastAsia="仿宋"/>
          <w:sz w:val="28"/>
          <w:szCs w:val="28"/>
        </w:rPr>
        <w:t>该事项已经独立董事专门会议审议通过，并已取得独立董事专门会议审查意见。</w:t>
      </w:r>
    </w:p>
    <w:p w14:paraId="26A6A88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570"/>
        <w:textAlignment w:val="auto"/>
        <w:rPr>
          <w:rFonts w:hint="eastAsia" w:ascii="Times New Roman" w:hAnsi="Times New Roman" w:eastAsia="仿宋"/>
          <w:b/>
          <w:sz w:val="28"/>
          <w:szCs w:val="28"/>
        </w:rPr>
      </w:pPr>
      <w:r>
        <w:rPr>
          <w:rFonts w:hint="eastAsia" w:ascii="Times New Roman" w:hAnsi="Times New Roman" w:eastAsia="仿宋"/>
          <w:bCs/>
          <w:sz w:val="28"/>
          <w:szCs w:val="28"/>
        </w:rPr>
        <w:t>具体内容详见同日刊载于巨潮资讯网上的《国家电投集团财务有限公司风险评估报告》。</w:t>
      </w:r>
    </w:p>
    <w:p w14:paraId="31F030B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562" w:firstLineChars="200"/>
        <w:textAlignment w:val="auto"/>
        <w:rPr>
          <w:rFonts w:ascii="Times New Roman" w:hAnsi="Times New Roman" w:eastAsia="仿宋"/>
          <w:b/>
          <w:sz w:val="28"/>
          <w:szCs w:val="28"/>
        </w:rPr>
      </w:pPr>
      <w:r>
        <w:rPr>
          <w:rFonts w:hint="eastAsia" w:ascii="Times New Roman" w:hAnsi="Times New Roman" w:eastAsia="仿宋" w:cs="仿宋"/>
          <w:b/>
          <w:sz w:val="28"/>
          <w:szCs w:val="28"/>
          <w:lang w:eastAsia="zh-CN" w:bidi="ar"/>
        </w:rPr>
        <w:t>（</w:t>
      </w:r>
      <w:r>
        <w:rPr>
          <w:rFonts w:hint="eastAsia" w:ascii="Times New Roman" w:hAnsi="Times New Roman" w:eastAsia="仿宋" w:cs="仿宋"/>
          <w:b/>
          <w:sz w:val="28"/>
          <w:szCs w:val="28"/>
          <w:lang w:val="en-US" w:eastAsia="zh-CN" w:bidi="ar"/>
        </w:rPr>
        <w:t>四</w:t>
      </w:r>
      <w:r>
        <w:rPr>
          <w:rFonts w:hint="eastAsia" w:ascii="Times New Roman" w:hAnsi="Times New Roman" w:eastAsia="仿宋" w:cs="仿宋"/>
          <w:b/>
          <w:sz w:val="28"/>
          <w:szCs w:val="28"/>
          <w:lang w:eastAsia="zh-CN" w:bidi="ar"/>
        </w:rPr>
        <w:t>）</w:t>
      </w:r>
      <w:r>
        <w:rPr>
          <w:rFonts w:hint="eastAsia" w:ascii="Times New Roman" w:hAnsi="Times New Roman" w:eastAsia="仿宋" w:cs="仿宋"/>
          <w:b/>
          <w:sz w:val="28"/>
          <w:szCs w:val="28"/>
          <w:lang w:bidi="ar"/>
        </w:rPr>
        <w:t>关于前次募集资金使用情况报告的议案</w:t>
      </w:r>
    </w:p>
    <w:p w14:paraId="5ECC48D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560" w:firstLineChars="200"/>
        <w:textAlignment w:val="auto"/>
        <w:rPr>
          <w:rFonts w:ascii="Times New Roman" w:hAnsi="Times New Roman" w:eastAsia="仿宋"/>
          <w:bCs/>
          <w:sz w:val="28"/>
          <w:szCs w:val="28"/>
        </w:rPr>
      </w:pPr>
      <w:r>
        <w:rPr>
          <w:rFonts w:hint="eastAsia" w:ascii="Times New Roman" w:hAnsi="Times New Roman" w:eastAsia="仿宋" w:cs="仿宋"/>
          <w:bCs/>
          <w:sz w:val="28"/>
          <w:szCs w:val="28"/>
          <w:lang w:bidi="ar"/>
        </w:rPr>
        <w:t>会议以</w:t>
      </w:r>
      <w:r>
        <w:rPr>
          <w:rFonts w:ascii="Times New Roman" w:hAnsi="Times New Roman" w:eastAsia="仿宋"/>
          <w:bCs/>
          <w:sz w:val="28"/>
          <w:szCs w:val="28"/>
          <w:lang w:bidi="ar"/>
        </w:rPr>
        <w:t>5</w:t>
      </w:r>
      <w:r>
        <w:rPr>
          <w:rFonts w:hint="eastAsia" w:ascii="Times New Roman" w:hAnsi="Times New Roman" w:eastAsia="仿宋" w:cs="仿宋"/>
          <w:bCs/>
          <w:sz w:val="28"/>
          <w:szCs w:val="28"/>
          <w:lang w:bidi="ar"/>
        </w:rPr>
        <w:t>票赞同、</w:t>
      </w:r>
      <w:r>
        <w:rPr>
          <w:rFonts w:ascii="Times New Roman" w:hAnsi="Times New Roman" w:eastAsia="仿宋"/>
          <w:bCs/>
          <w:sz w:val="28"/>
          <w:szCs w:val="28"/>
          <w:lang w:bidi="ar"/>
        </w:rPr>
        <w:t>0</w:t>
      </w:r>
      <w:r>
        <w:rPr>
          <w:rFonts w:hint="eastAsia" w:ascii="Times New Roman" w:hAnsi="Times New Roman" w:eastAsia="仿宋" w:cs="仿宋"/>
          <w:bCs/>
          <w:sz w:val="28"/>
          <w:szCs w:val="28"/>
          <w:lang w:bidi="ar"/>
        </w:rPr>
        <w:t>票反对、</w:t>
      </w:r>
      <w:r>
        <w:rPr>
          <w:rFonts w:ascii="Times New Roman" w:hAnsi="Times New Roman" w:eastAsia="仿宋"/>
          <w:bCs/>
          <w:sz w:val="28"/>
          <w:szCs w:val="28"/>
          <w:lang w:bidi="ar"/>
        </w:rPr>
        <w:t>0</w:t>
      </w:r>
      <w:r>
        <w:rPr>
          <w:rFonts w:hint="eastAsia" w:ascii="Times New Roman" w:hAnsi="Times New Roman" w:eastAsia="仿宋" w:cs="仿宋"/>
          <w:bCs/>
          <w:sz w:val="28"/>
          <w:szCs w:val="28"/>
          <w:lang w:bidi="ar"/>
        </w:rPr>
        <w:t>票弃权，通过了《关于前次募集资金使用情况报告的议案》。</w:t>
      </w:r>
    </w:p>
    <w:p w14:paraId="4208DCB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560" w:firstLineChars="200"/>
        <w:textAlignment w:val="auto"/>
        <w:rPr>
          <w:rFonts w:hint="eastAsia" w:ascii="Times New Roman" w:hAnsi="Times New Roman" w:eastAsia="仿宋"/>
          <w:b/>
          <w:sz w:val="28"/>
          <w:szCs w:val="28"/>
        </w:rPr>
      </w:pPr>
      <w:r>
        <w:rPr>
          <w:rFonts w:hint="eastAsia" w:ascii="Times New Roman" w:hAnsi="Times New Roman" w:eastAsia="仿宋" w:cs="仿宋"/>
          <w:bCs/>
          <w:sz w:val="28"/>
          <w:szCs w:val="28"/>
          <w:lang w:bidi="ar"/>
        </w:rPr>
        <w:t>具体内容详见同日刊载于巨潮资讯网站上的《吉林电力股份有限公司关于前次募集资金使用情况的报告》。</w:t>
      </w:r>
    </w:p>
    <w:p w14:paraId="3F4ED8F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562" w:firstLineChars="200"/>
        <w:textAlignment w:val="auto"/>
        <w:rPr>
          <w:rFonts w:ascii="Times New Roman" w:hAnsi="Times New Roman" w:eastAsia="仿宋"/>
          <w:b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三、备查文件</w:t>
      </w:r>
    </w:p>
    <w:p w14:paraId="71609B0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560" w:firstLineChars="200"/>
        <w:textAlignment w:val="auto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经与会监事签字并加盖监事会印章的监事会决议。</w:t>
      </w:r>
    </w:p>
    <w:p w14:paraId="262CAB9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560" w:firstLineChars="200"/>
        <w:textAlignment w:val="auto"/>
        <w:rPr>
          <w:rFonts w:hint="eastAsia" w:ascii="Times New Roman" w:hAnsi="Times New Roman" w:eastAsia="仿宋"/>
          <w:sz w:val="28"/>
          <w:szCs w:val="28"/>
        </w:rPr>
      </w:pPr>
    </w:p>
    <w:p w14:paraId="3FFC533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560" w:firstLineChars="200"/>
        <w:textAlignment w:val="auto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特此公告。</w:t>
      </w:r>
    </w:p>
    <w:p w14:paraId="37E1F06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4620" w:firstLineChars="1650"/>
        <w:textAlignment w:val="auto"/>
        <w:rPr>
          <w:rFonts w:hint="eastAsia" w:ascii="Times New Roman" w:hAnsi="Times New Roman" w:eastAsia="仿宋"/>
          <w:sz w:val="28"/>
          <w:szCs w:val="28"/>
        </w:rPr>
      </w:pPr>
    </w:p>
    <w:p w14:paraId="5354EE1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4620" w:firstLineChars="1650"/>
        <w:textAlignment w:val="auto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吉</w:t>
      </w:r>
      <w:r>
        <w:rPr>
          <w:rFonts w:ascii="Times New Roman" w:hAnsi="Times New Roman" w:eastAsia="仿宋"/>
          <w:sz w:val="28"/>
          <w:szCs w:val="28"/>
        </w:rPr>
        <w:t>林电力股份有限公司监事会</w:t>
      </w:r>
    </w:p>
    <w:p w14:paraId="0795AED3">
      <w:pPr>
        <w:keepNext w:val="0"/>
        <w:keepLines w:val="0"/>
        <w:pageBreakBefore w:val="0"/>
        <w:tabs>
          <w:tab w:val="left" w:pos="2805"/>
          <w:tab w:val="right" w:pos="8026"/>
        </w:tabs>
        <w:kinsoku/>
        <w:wordWrap/>
        <w:overflowPunct/>
        <w:topLinePunct w:val="0"/>
        <w:bidi w:val="0"/>
        <w:spacing w:line="580" w:lineRule="exact"/>
        <w:jc w:val="left"/>
        <w:textAlignment w:val="auto"/>
        <w:rPr>
          <w:rFonts w:ascii="Times New Roman" w:hAnsi="Times New Roman"/>
        </w:rPr>
      </w:pPr>
      <w:r>
        <w:rPr>
          <w:rFonts w:ascii="Times New Roman" w:hAnsi="Times New Roman" w:eastAsia="仿宋"/>
          <w:sz w:val="28"/>
          <w:szCs w:val="28"/>
        </w:rPr>
        <w:tab/>
      </w:r>
      <w:r>
        <w:rPr>
          <w:rFonts w:ascii="Times New Roman" w:hAnsi="Times New Roman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二○二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四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七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</w:rPr>
        <w:t>二十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九</w:t>
      </w:r>
      <w:r>
        <w:rPr>
          <w:rFonts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88C8A">
    <w:pPr>
      <w:pStyle w:val="4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</w:rPr>
      <w:t>8</w:t>
    </w:r>
    <w:r>
      <w:fldChar w:fldCharType="end"/>
    </w:r>
  </w:p>
  <w:p w14:paraId="58F73901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9E5A0">
    <w:pPr>
      <w:pStyle w:val="4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fldChar w:fldCharType="end"/>
    </w:r>
  </w:p>
  <w:p w14:paraId="2E4B2536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F189F6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ZDUxMmU3NmEwMTE5M2Q5ZTg0MGVmOGY5OWRhMDQifQ=="/>
  </w:docVars>
  <w:rsids>
    <w:rsidRoot w:val="00172A27"/>
    <w:rsid w:val="00020CDB"/>
    <w:rsid w:val="00035452"/>
    <w:rsid w:val="00035F6F"/>
    <w:rsid w:val="00063A8D"/>
    <w:rsid w:val="000A3C4A"/>
    <w:rsid w:val="000B5D56"/>
    <w:rsid w:val="000C5011"/>
    <w:rsid w:val="000E6514"/>
    <w:rsid w:val="000F734A"/>
    <w:rsid w:val="00134B4B"/>
    <w:rsid w:val="00157C41"/>
    <w:rsid w:val="001A7862"/>
    <w:rsid w:val="0020467F"/>
    <w:rsid w:val="00223111"/>
    <w:rsid w:val="00254885"/>
    <w:rsid w:val="0027644C"/>
    <w:rsid w:val="00294C77"/>
    <w:rsid w:val="002959AD"/>
    <w:rsid w:val="00296099"/>
    <w:rsid w:val="002E0B33"/>
    <w:rsid w:val="003272C8"/>
    <w:rsid w:val="0037231A"/>
    <w:rsid w:val="00417154"/>
    <w:rsid w:val="00435FF7"/>
    <w:rsid w:val="00442FF0"/>
    <w:rsid w:val="004474AC"/>
    <w:rsid w:val="00482ACC"/>
    <w:rsid w:val="004A1979"/>
    <w:rsid w:val="004C0534"/>
    <w:rsid w:val="004E2C25"/>
    <w:rsid w:val="005522CD"/>
    <w:rsid w:val="005B5D55"/>
    <w:rsid w:val="005D77D5"/>
    <w:rsid w:val="005D7A2B"/>
    <w:rsid w:val="005E058B"/>
    <w:rsid w:val="005E6B27"/>
    <w:rsid w:val="005F2F6B"/>
    <w:rsid w:val="00600112"/>
    <w:rsid w:val="0061266F"/>
    <w:rsid w:val="00630AA6"/>
    <w:rsid w:val="006975D6"/>
    <w:rsid w:val="006E047C"/>
    <w:rsid w:val="00773A4B"/>
    <w:rsid w:val="0078109F"/>
    <w:rsid w:val="00782370"/>
    <w:rsid w:val="00786090"/>
    <w:rsid w:val="007A45D4"/>
    <w:rsid w:val="007D1C7B"/>
    <w:rsid w:val="007F501E"/>
    <w:rsid w:val="00806C3C"/>
    <w:rsid w:val="00806E60"/>
    <w:rsid w:val="00821C03"/>
    <w:rsid w:val="00850FCA"/>
    <w:rsid w:val="008B4D38"/>
    <w:rsid w:val="008C7CDA"/>
    <w:rsid w:val="00927840"/>
    <w:rsid w:val="00961D15"/>
    <w:rsid w:val="00965EFA"/>
    <w:rsid w:val="0097169A"/>
    <w:rsid w:val="009902D5"/>
    <w:rsid w:val="00991474"/>
    <w:rsid w:val="009B2060"/>
    <w:rsid w:val="00A16278"/>
    <w:rsid w:val="00A32597"/>
    <w:rsid w:val="00A41462"/>
    <w:rsid w:val="00AA3F7F"/>
    <w:rsid w:val="00AB1C6E"/>
    <w:rsid w:val="00AB699D"/>
    <w:rsid w:val="00AE69E0"/>
    <w:rsid w:val="00AF351C"/>
    <w:rsid w:val="00B128BC"/>
    <w:rsid w:val="00B336D5"/>
    <w:rsid w:val="00BE5F88"/>
    <w:rsid w:val="00BF1DFD"/>
    <w:rsid w:val="00BF4EDD"/>
    <w:rsid w:val="00C029BA"/>
    <w:rsid w:val="00C4476B"/>
    <w:rsid w:val="00C61CAA"/>
    <w:rsid w:val="00CA2548"/>
    <w:rsid w:val="00CF57DB"/>
    <w:rsid w:val="00D00DAA"/>
    <w:rsid w:val="00D07125"/>
    <w:rsid w:val="00D259B3"/>
    <w:rsid w:val="00D61B0A"/>
    <w:rsid w:val="00D8439F"/>
    <w:rsid w:val="00D87228"/>
    <w:rsid w:val="00DE7FE5"/>
    <w:rsid w:val="00DF2967"/>
    <w:rsid w:val="00E06F72"/>
    <w:rsid w:val="00E322E8"/>
    <w:rsid w:val="00E434F4"/>
    <w:rsid w:val="00E867D9"/>
    <w:rsid w:val="00E87057"/>
    <w:rsid w:val="00E968B0"/>
    <w:rsid w:val="00EC38C2"/>
    <w:rsid w:val="00F04D26"/>
    <w:rsid w:val="00F210DE"/>
    <w:rsid w:val="00F34F1E"/>
    <w:rsid w:val="00F41469"/>
    <w:rsid w:val="00F83A50"/>
    <w:rsid w:val="00FA6957"/>
    <w:rsid w:val="00FC7CDD"/>
    <w:rsid w:val="00FD4924"/>
    <w:rsid w:val="01411C55"/>
    <w:rsid w:val="01641BAD"/>
    <w:rsid w:val="01FA3894"/>
    <w:rsid w:val="021031F5"/>
    <w:rsid w:val="02A640DC"/>
    <w:rsid w:val="038518D3"/>
    <w:rsid w:val="046A4330"/>
    <w:rsid w:val="05211E97"/>
    <w:rsid w:val="06CE0E6C"/>
    <w:rsid w:val="06E41591"/>
    <w:rsid w:val="08555D85"/>
    <w:rsid w:val="099B5FE8"/>
    <w:rsid w:val="0A7720BF"/>
    <w:rsid w:val="0AA552A8"/>
    <w:rsid w:val="0B2B47BA"/>
    <w:rsid w:val="0C3D3ECB"/>
    <w:rsid w:val="0CC637E7"/>
    <w:rsid w:val="0E74495A"/>
    <w:rsid w:val="0F2E4A1B"/>
    <w:rsid w:val="102E0EE3"/>
    <w:rsid w:val="11374CBB"/>
    <w:rsid w:val="118442A0"/>
    <w:rsid w:val="11B42A29"/>
    <w:rsid w:val="12216C8B"/>
    <w:rsid w:val="134157C5"/>
    <w:rsid w:val="1382001C"/>
    <w:rsid w:val="1459096F"/>
    <w:rsid w:val="14B36996"/>
    <w:rsid w:val="14EF0946"/>
    <w:rsid w:val="15CD06E5"/>
    <w:rsid w:val="16AC5819"/>
    <w:rsid w:val="177210F4"/>
    <w:rsid w:val="18B7393A"/>
    <w:rsid w:val="19BE287C"/>
    <w:rsid w:val="1A455668"/>
    <w:rsid w:val="1AC739FE"/>
    <w:rsid w:val="1B667887"/>
    <w:rsid w:val="1BF04D1A"/>
    <w:rsid w:val="1C252EBD"/>
    <w:rsid w:val="1E452750"/>
    <w:rsid w:val="1EE61282"/>
    <w:rsid w:val="202538B8"/>
    <w:rsid w:val="203715BC"/>
    <w:rsid w:val="204732C0"/>
    <w:rsid w:val="204F7A20"/>
    <w:rsid w:val="212A32FB"/>
    <w:rsid w:val="214E2A87"/>
    <w:rsid w:val="2237084A"/>
    <w:rsid w:val="224D4BEA"/>
    <w:rsid w:val="237C6B75"/>
    <w:rsid w:val="238B4FEE"/>
    <w:rsid w:val="242A142B"/>
    <w:rsid w:val="25354C69"/>
    <w:rsid w:val="25691BA9"/>
    <w:rsid w:val="297D4844"/>
    <w:rsid w:val="2AA50633"/>
    <w:rsid w:val="2BD77A9C"/>
    <w:rsid w:val="2BDC46D9"/>
    <w:rsid w:val="2C782F45"/>
    <w:rsid w:val="2CF22EAC"/>
    <w:rsid w:val="2D0A4A3C"/>
    <w:rsid w:val="30C71216"/>
    <w:rsid w:val="31F07F7E"/>
    <w:rsid w:val="321A50E9"/>
    <w:rsid w:val="324418FE"/>
    <w:rsid w:val="32E35645"/>
    <w:rsid w:val="32E6467A"/>
    <w:rsid w:val="33AF3B80"/>
    <w:rsid w:val="35323A39"/>
    <w:rsid w:val="35593B67"/>
    <w:rsid w:val="36051918"/>
    <w:rsid w:val="367029AB"/>
    <w:rsid w:val="374D117B"/>
    <w:rsid w:val="3819561D"/>
    <w:rsid w:val="392D28C0"/>
    <w:rsid w:val="393F36E0"/>
    <w:rsid w:val="3B4C42D5"/>
    <w:rsid w:val="3C5477BA"/>
    <w:rsid w:val="3CA345A8"/>
    <w:rsid w:val="3CCC7276"/>
    <w:rsid w:val="3D062DA2"/>
    <w:rsid w:val="40643C9B"/>
    <w:rsid w:val="410E5E66"/>
    <w:rsid w:val="41106103"/>
    <w:rsid w:val="416E0A97"/>
    <w:rsid w:val="41CC7876"/>
    <w:rsid w:val="4335330B"/>
    <w:rsid w:val="44A71F58"/>
    <w:rsid w:val="44BA1716"/>
    <w:rsid w:val="44F72DC6"/>
    <w:rsid w:val="45230373"/>
    <w:rsid w:val="45C86AD0"/>
    <w:rsid w:val="46055158"/>
    <w:rsid w:val="470B543D"/>
    <w:rsid w:val="48E65FE3"/>
    <w:rsid w:val="49713CD0"/>
    <w:rsid w:val="4A2A6880"/>
    <w:rsid w:val="4B732DBE"/>
    <w:rsid w:val="4B8975BB"/>
    <w:rsid w:val="4BEB7797"/>
    <w:rsid w:val="4C0F742A"/>
    <w:rsid w:val="4C3C5E71"/>
    <w:rsid w:val="4D827663"/>
    <w:rsid w:val="4E000611"/>
    <w:rsid w:val="4EF96157"/>
    <w:rsid w:val="4F59499F"/>
    <w:rsid w:val="4F9206E2"/>
    <w:rsid w:val="50E84C2F"/>
    <w:rsid w:val="526818ED"/>
    <w:rsid w:val="531C4FC6"/>
    <w:rsid w:val="54361EF4"/>
    <w:rsid w:val="54B24362"/>
    <w:rsid w:val="56805C4A"/>
    <w:rsid w:val="56A143BE"/>
    <w:rsid w:val="56E25ADD"/>
    <w:rsid w:val="56EA27CC"/>
    <w:rsid w:val="56F53F18"/>
    <w:rsid w:val="574654A4"/>
    <w:rsid w:val="575C141E"/>
    <w:rsid w:val="57981DA5"/>
    <w:rsid w:val="57E312B1"/>
    <w:rsid w:val="58F728F9"/>
    <w:rsid w:val="595D4310"/>
    <w:rsid w:val="5B304657"/>
    <w:rsid w:val="5B9F4593"/>
    <w:rsid w:val="5BCE4964"/>
    <w:rsid w:val="5C2C3C45"/>
    <w:rsid w:val="5D573A29"/>
    <w:rsid w:val="5EE254AC"/>
    <w:rsid w:val="5F1C2907"/>
    <w:rsid w:val="60551C0A"/>
    <w:rsid w:val="610E7C49"/>
    <w:rsid w:val="6170257C"/>
    <w:rsid w:val="61EB3135"/>
    <w:rsid w:val="61ED03A7"/>
    <w:rsid w:val="61F54646"/>
    <w:rsid w:val="628400E5"/>
    <w:rsid w:val="64566206"/>
    <w:rsid w:val="64B3073A"/>
    <w:rsid w:val="65446AAE"/>
    <w:rsid w:val="65C57704"/>
    <w:rsid w:val="6651212F"/>
    <w:rsid w:val="675225E6"/>
    <w:rsid w:val="67C970B8"/>
    <w:rsid w:val="698C7DE8"/>
    <w:rsid w:val="6A6B4FBD"/>
    <w:rsid w:val="6CE13DC4"/>
    <w:rsid w:val="6DEA0030"/>
    <w:rsid w:val="6FBC418C"/>
    <w:rsid w:val="6FCE2EB1"/>
    <w:rsid w:val="70221B36"/>
    <w:rsid w:val="703B260F"/>
    <w:rsid w:val="727E688C"/>
    <w:rsid w:val="73DF75FB"/>
    <w:rsid w:val="7794227D"/>
    <w:rsid w:val="77E777A4"/>
    <w:rsid w:val="78B55F55"/>
    <w:rsid w:val="792D044F"/>
    <w:rsid w:val="79C012FF"/>
    <w:rsid w:val="7A0C0D93"/>
    <w:rsid w:val="7A93429D"/>
    <w:rsid w:val="7ACA6A42"/>
    <w:rsid w:val="7B472CC2"/>
    <w:rsid w:val="7CEE3D71"/>
    <w:rsid w:val="7D4B16E9"/>
    <w:rsid w:val="7FBF11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link w:val="14"/>
    <w:semiHidden/>
    <w:qFormat/>
    <w:uiPriority w:val="0"/>
    <w:rPr>
      <w:rFonts w:ascii="Tahoma" w:hAnsi="Tahoma" w:eastAsia="Times New Roman"/>
      <w:kern w:val="0"/>
      <w:sz w:val="24"/>
      <w:szCs w:val="20"/>
    </w:rPr>
  </w:style>
  <w:style w:type="table" w:default="1" w:styleId="1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next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annotation text"/>
    <w:basedOn w:val="1"/>
    <w:semiHidden/>
    <w:qFormat/>
    <w:uiPriority w:val="0"/>
    <w:pPr>
      <w:jc w:val="left"/>
    </w:p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ody Text Indent 2"/>
    <w:basedOn w:val="1"/>
    <w:qFormat/>
    <w:uiPriority w:val="0"/>
    <w:pPr>
      <w:spacing w:after="120" w:line="480" w:lineRule="auto"/>
      <w:ind w:left="420" w:leftChars="200"/>
    </w:pPr>
    <w:rPr>
      <w:szCs w:val="24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_Style 9"/>
    <w:basedOn w:val="1"/>
    <w:link w:val="13"/>
    <w:qFormat/>
    <w:uiPriority w:val="0"/>
    <w:rPr>
      <w:rFonts w:ascii="Tahoma" w:hAnsi="Tahoma" w:eastAsia="Times New Roman"/>
      <w:kern w:val="0"/>
      <w:sz w:val="24"/>
      <w:szCs w:val="20"/>
    </w:rPr>
  </w:style>
  <w:style w:type="character" w:styleId="15">
    <w:name w:val="Strong"/>
    <w:qFormat/>
    <w:uiPriority w:val="99"/>
    <w:rPr>
      <w:rFonts w:cs="Times New Roman"/>
      <w:b/>
      <w:bCs/>
    </w:rPr>
  </w:style>
  <w:style w:type="character" w:styleId="16">
    <w:name w:val="page number"/>
    <w:qFormat/>
    <w:uiPriority w:val="0"/>
  </w:style>
  <w:style w:type="character" w:customStyle="1" w:styleId="17">
    <w:name w:val="da1"/>
    <w:qFormat/>
    <w:uiPriority w:val="0"/>
    <w:rPr>
      <w:rFonts w:hint="default" w:ascii="_x000B__x000C_" w:hAnsi="_x000B__x000C_"/>
      <w:color w:val="000000"/>
      <w:spacing w:val="360"/>
      <w:sz w:val="21"/>
      <w:szCs w:val="21"/>
      <w:u w:val="none"/>
    </w:rPr>
  </w:style>
  <w:style w:type="character" w:customStyle="1" w:styleId="18">
    <w:name w:val="UserStyle_1"/>
    <w:qFormat/>
    <w:uiPriority w:val="0"/>
    <w:rPr>
      <w:rFonts w:hint="default" w:ascii="Calibri" w:hAnsi="Calibri" w:cs="Calibri"/>
    </w:rPr>
  </w:style>
  <w:style w:type="paragraph" w:customStyle="1" w:styleId="19">
    <w:name w:val="Char1 Char Char Char Char Char Char Char Char Char Char Char"/>
    <w:basedOn w:val="1"/>
    <w:qFormat/>
    <w:uiPriority w:val="0"/>
    <w:pPr>
      <w:pageBreakBefore/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20">
    <w:name w:val="Char Char Char Char"/>
    <w:basedOn w:val="1"/>
    <w:qFormat/>
    <w:uiPriority w:val="0"/>
    <w:rPr>
      <w:szCs w:val="21"/>
    </w:rPr>
  </w:style>
  <w:style w:type="paragraph" w:customStyle="1" w:styleId="21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"/>
    </w:rPr>
  </w:style>
  <w:style w:type="paragraph" w:customStyle="1" w:styleId="22">
    <w:name w:val=" Char Char"/>
    <w:basedOn w:val="1"/>
    <w:qFormat/>
    <w:uiPriority w:val="0"/>
    <w:pPr>
      <w:pageBreakBefore/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4">
    <w:name w:val="Char Char3"/>
    <w:basedOn w:val="1"/>
    <w:qFormat/>
    <w:uiPriority w:val="0"/>
  </w:style>
  <w:style w:type="paragraph" w:customStyle="1" w:styleId="25">
    <w:name w:val="_Style 3"/>
    <w:basedOn w:val="1"/>
    <w:qFormat/>
    <w:uiPriority w:val="0"/>
    <w:pPr>
      <w:pageBreakBefore/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26">
    <w:name w:val="_Style 25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1352</Words>
  <Characters>1525</Characters>
  <Lines>36</Lines>
  <Paragraphs>10</Paragraphs>
  <TotalTime>28</TotalTime>
  <ScaleCrop>false</ScaleCrop>
  <LinksUpToDate>false</LinksUpToDate>
  <CharactersWithSpaces>1557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2007-02-01T10:10:00Z</dcterms:created>
  <dc:creator>liuyongping</dc:creator>
  <cp:lastModifiedBy>WPS_1591103659</cp:lastModifiedBy>
  <cp:lastPrinted>2009-03-27T09:12:00Z</cp:lastPrinted>
  <dcterms:modified xsi:type="dcterms:W3CDTF">2024-07-30T04:21:44Z</dcterms:modified>
  <dc:title>证券代码：000875            证券简称：吉电股份              公告编号：2014-062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21E2EEAB960746DFBFE289E24AEB992D_13</vt:lpwstr>
  </property>
</Properties>
</file>