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0" w:after="0" w:line="773" w:lineRule="exact"/>
        <w:jc w:val="center"/>
        <w:rPr>
          <w:rFonts w:hint="default" w:ascii="宋体" w:hAnsi="宋体" w:eastAsia="宋体" w:cs="宋体"/>
          <w:b/>
          <w:bCs/>
          <w:sz w:val="21"/>
          <w:szCs w:val="21"/>
          <w:lang w:val="en-US" w:eastAsia="zh-CN"/>
        </w:rPr>
      </w:pPr>
      <w:r>
        <w:rPr>
          <w:rFonts w:hint="eastAsia" w:ascii="宋体" w:hAnsi="宋体" w:cs="宋体"/>
          <w:b/>
          <w:bCs/>
          <w:sz w:val="21"/>
          <w:szCs w:val="21"/>
          <w:lang w:eastAsia="zh-CN"/>
        </w:rPr>
        <w:t>股票代码：</w:t>
      </w:r>
      <w:r>
        <w:rPr>
          <w:rFonts w:hint="eastAsia" w:ascii="宋体" w:hAnsi="宋体" w:cs="宋体"/>
          <w:b/>
          <w:bCs/>
          <w:sz w:val="21"/>
          <w:szCs w:val="21"/>
          <w:lang w:val="en-US" w:eastAsia="zh-CN"/>
        </w:rPr>
        <w:t>000875             证券简称：吉电股份             公告编号：2024—059</w:t>
      </w:r>
    </w:p>
    <w:p>
      <w:pPr>
        <w:spacing w:before="2400" w:after="0" w:line="773" w:lineRule="exact"/>
        <w:jc w:val="center"/>
        <w:rPr>
          <w:rFonts w:hint="eastAsia" w:ascii="宋体" w:hAnsi="宋体" w:eastAsia="宋体" w:cs="宋体"/>
          <w:b/>
          <w:bCs/>
          <w:sz w:val="52"/>
          <w:szCs w:val="52"/>
          <w:lang w:eastAsia="zh-CN"/>
        </w:rPr>
      </w:pPr>
      <w:r>
        <w:rPr>
          <w:rFonts w:ascii="宋体" w:hAnsi="宋体" w:eastAsia="宋体" w:cs="宋体"/>
          <w:b/>
          <w:bCs/>
          <w:sz w:val="52"/>
          <w:szCs w:val="52"/>
        </w:rPr>
        <w:t>吉林电力股份有限公</w:t>
      </w:r>
      <w:r>
        <w:rPr>
          <w:rFonts w:hint="eastAsia" w:ascii="宋体" w:hAnsi="宋体" w:cs="宋体"/>
          <w:b/>
          <w:bCs/>
          <w:sz w:val="52"/>
          <w:szCs w:val="52"/>
          <w:lang w:eastAsia="zh-CN"/>
        </w:rPr>
        <w:t>司</w:t>
      </w:r>
    </w:p>
    <w:p>
      <w:pPr>
        <w:spacing w:before="1000" w:after="0" w:line="320" w:lineRule="exact"/>
        <w:jc w:val="center"/>
        <w:rPr>
          <w:rFonts w:ascii="宋体" w:hAnsi="宋体" w:eastAsia="宋体" w:cs="宋体"/>
          <w:b/>
          <w:bCs/>
          <w:sz w:val="84"/>
          <w:szCs w:val="84"/>
        </w:rPr>
      </w:pPr>
      <w:r>
        <w:rPr>
          <w:rFonts w:ascii="宋体" w:hAnsi="宋体" w:eastAsia="宋体" w:cs="宋体"/>
          <w:b/>
          <w:bCs/>
          <w:sz w:val="84"/>
          <w:szCs w:val="84"/>
        </w:rPr>
        <w:t>2024年半年度报告</w:t>
      </w:r>
    </w:p>
    <w:p>
      <w:pPr>
        <w:spacing w:before="1000" w:after="1000" w:line="0" w:lineRule="exact"/>
        <w:jc w:val="center"/>
        <w:rPr>
          <w:rFonts w:ascii="Times New Roman" w:hAnsi="Times New Roman" w:eastAsia="宋体" w:cs="Times New Roman"/>
        </w:rPr>
      </w:pPr>
    </w:p>
    <w:p>
      <w:pPr>
        <w:spacing w:before="1000" w:after="1000" w:line="0" w:lineRule="exact"/>
        <w:jc w:val="center"/>
        <w:rPr>
          <w:rFonts w:hint="default" w:ascii="Times New Roman" w:hAnsi="Times New Roman" w:eastAsia="宋体" w:cs="Times New Roman"/>
          <w:b/>
          <w:bCs/>
          <w:sz w:val="32"/>
          <w:szCs w:val="32"/>
          <w:lang w:val="en-US" w:eastAsia="zh-CN"/>
        </w:rPr>
      </w:pPr>
      <w:r>
        <w:rPr>
          <w:rFonts w:hint="eastAsia" w:cs="Times New Roman"/>
          <w:b/>
          <w:bCs/>
          <w:sz w:val="32"/>
          <w:szCs w:val="32"/>
          <w:lang w:val="en-US" w:eastAsia="zh-CN"/>
        </w:rPr>
        <w:t>2024年7月</w:t>
      </w:r>
    </w:p>
    <w:p>
      <w:r>
        <w:br w:type="page"/>
      </w:r>
    </w:p>
    <w:p>
      <w:pPr>
        <w:keepNext/>
        <w:keepLines/>
        <w:spacing w:before="340" w:after="330" w:line="773" w:lineRule="exact"/>
        <w:jc w:val="center"/>
        <w:outlineLvl w:val="0"/>
        <w:rPr>
          <w:rFonts w:ascii="宋体" w:hAnsi="宋体" w:eastAsia="宋体" w:cs="宋体"/>
          <w:b/>
          <w:bCs/>
          <w:sz w:val="32"/>
          <w:szCs w:val="32"/>
        </w:rPr>
      </w:pPr>
      <w:bookmarkStart w:id="0" w:name="_Toc988889"/>
      <w:r>
        <w:rPr>
          <w:rFonts w:ascii="宋体" w:hAnsi="宋体" w:eastAsia="宋体" w:cs="宋体"/>
          <w:b/>
          <w:bCs/>
          <w:sz w:val="32"/>
          <w:szCs w:val="32"/>
        </w:rPr>
        <w:t>第一节 重要提示、目录和释义</w:t>
      </w:r>
      <w:bookmarkEnd w:id="0"/>
    </w:p>
    <w:p>
      <w:pPr>
        <w:spacing w:before="40" w:after="40" w:line="560" w:lineRule="exact"/>
        <w:ind w:firstLine="560" w:firstLineChars="200"/>
        <w:jc w:val="left"/>
        <w:rPr>
          <w:rFonts w:ascii="宋体" w:hAnsi="宋体" w:eastAsia="宋体" w:cs="宋体"/>
          <w:b/>
          <w:bCs/>
          <w:sz w:val="28"/>
          <w:szCs w:val="28"/>
        </w:rPr>
      </w:pPr>
      <w:r>
        <w:rPr>
          <w:rFonts w:ascii="宋体" w:hAnsi="宋体" w:eastAsia="宋体" w:cs="宋体"/>
          <w:b/>
          <w:bCs/>
          <w:sz w:val="28"/>
          <w:szCs w:val="28"/>
        </w:rPr>
        <w:t>公司董事会、监事会及董事、监事、高级管理人员保证半年度报告内容的真实、准确、完整，不存在虚假记载、误导性陈述或者重大遗漏，并承担个别和连带的法律责任。</w:t>
      </w:r>
    </w:p>
    <w:p>
      <w:pPr>
        <w:spacing w:before="0" w:after="0" w:line="560" w:lineRule="exact"/>
        <w:ind w:firstLine="560" w:firstLineChars="200"/>
        <w:jc w:val="left"/>
        <w:rPr>
          <w:rFonts w:ascii="宋体" w:hAnsi="宋体" w:eastAsia="宋体" w:cs="宋体"/>
          <w:b/>
          <w:bCs/>
          <w:sz w:val="28"/>
          <w:szCs w:val="28"/>
        </w:rPr>
      </w:pPr>
      <w:r>
        <w:rPr>
          <w:rFonts w:ascii="宋体" w:hAnsi="宋体" w:eastAsia="宋体" w:cs="宋体"/>
          <w:b/>
          <w:bCs/>
          <w:sz w:val="28"/>
          <w:szCs w:val="28"/>
        </w:rPr>
        <w:t>公司负责人牛国君、主管会计工作负责人谢晶及会计机构负责人(会计主管人员)于杭声明：保证本半年度报告中财务报告的真实、准确、完整。</w:t>
      </w:r>
    </w:p>
    <w:p>
      <w:pPr>
        <w:spacing w:before="0" w:after="0" w:line="560" w:lineRule="exact"/>
        <w:ind w:firstLine="560" w:firstLineChars="200"/>
        <w:jc w:val="left"/>
        <w:rPr>
          <w:rFonts w:ascii="宋体" w:hAnsi="宋体" w:eastAsia="宋体" w:cs="宋体"/>
          <w:b/>
          <w:bCs/>
          <w:sz w:val="28"/>
          <w:szCs w:val="28"/>
        </w:rPr>
      </w:pPr>
      <w:r>
        <w:rPr>
          <w:rFonts w:ascii="宋体" w:hAnsi="宋体" w:eastAsia="宋体" w:cs="宋体"/>
          <w:b/>
          <w:bCs/>
          <w:sz w:val="28"/>
          <w:szCs w:val="28"/>
        </w:rPr>
        <w:t>除下列董事外，其他董事亲自出席了审议本次半年报的董事会会议</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56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560" w:lineRule="exact"/>
              <w:jc w:val="center"/>
              <w:rPr>
                <w:rFonts w:ascii="宋体" w:hAnsi="宋体" w:eastAsia="宋体" w:cs="宋体"/>
                <w:b/>
                <w:bCs/>
                <w:sz w:val="28"/>
                <w:szCs w:val="28"/>
              </w:rPr>
            </w:pPr>
            <w:r>
              <w:rPr>
                <w:rFonts w:ascii="宋体" w:hAnsi="宋体" w:eastAsia="宋体" w:cs="宋体"/>
                <w:b/>
                <w:bCs/>
                <w:sz w:val="28"/>
                <w:szCs w:val="28"/>
              </w:rPr>
              <w:t>未亲自出席董事姓名</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560" w:lineRule="exact"/>
              <w:jc w:val="center"/>
              <w:rPr>
                <w:rFonts w:ascii="宋体" w:hAnsi="宋体" w:eastAsia="宋体" w:cs="宋体"/>
                <w:b/>
                <w:bCs/>
                <w:sz w:val="28"/>
                <w:szCs w:val="28"/>
              </w:rPr>
            </w:pPr>
            <w:r>
              <w:rPr>
                <w:rFonts w:ascii="宋体" w:hAnsi="宋体" w:eastAsia="宋体" w:cs="宋体"/>
                <w:b/>
                <w:bCs/>
                <w:sz w:val="28"/>
                <w:szCs w:val="28"/>
              </w:rPr>
              <w:t>未亲自出席董事职务</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560" w:lineRule="exact"/>
              <w:jc w:val="center"/>
              <w:rPr>
                <w:rFonts w:ascii="宋体" w:hAnsi="宋体" w:eastAsia="宋体" w:cs="宋体"/>
                <w:b/>
                <w:bCs/>
                <w:sz w:val="28"/>
                <w:szCs w:val="28"/>
              </w:rPr>
            </w:pPr>
            <w:r>
              <w:rPr>
                <w:rFonts w:ascii="宋体" w:hAnsi="宋体" w:eastAsia="宋体" w:cs="宋体"/>
                <w:b/>
                <w:bCs/>
                <w:sz w:val="28"/>
                <w:szCs w:val="28"/>
              </w:rPr>
              <w:t>未亲自出席会议原因</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560" w:lineRule="exact"/>
              <w:jc w:val="center"/>
              <w:rPr>
                <w:rFonts w:ascii="宋体" w:hAnsi="宋体" w:eastAsia="宋体" w:cs="宋体"/>
                <w:b/>
                <w:bCs/>
                <w:sz w:val="28"/>
                <w:szCs w:val="28"/>
              </w:rPr>
            </w:pPr>
            <w:r>
              <w:rPr>
                <w:rFonts w:ascii="宋体" w:hAnsi="宋体" w:eastAsia="宋体" w:cs="宋体"/>
                <w:b/>
                <w:bCs/>
                <w:sz w:val="28"/>
                <w:szCs w:val="28"/>
              </w:rPr>
              <w:t>被委托人姓名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56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560" w:lineRule="exact"/>
              <w:jc w:val="center"/>
              <w:rPr>
                <w:rFonts w:ascii="宋体" w:hAnsi="宋体" w:eastAsia="宋体" w:cs="宋体"/>
                <w:b/>
                <w:bCs/>
                <w:sz w:val="28"/>
                <w:szCs w:val="28"/>
              </w:rPr>
            </w:pPr>
            <w:r>
              <w:rPr>
                <w:rFonts w:ascii="宋体" w:hAnsi="宋体" w:eastAsia="宋体" w:cs="宋体"/>
                <w:b/>
                <w:bCs/>
                <w:sz w:val="28"/>
                <w:szCs w:val="28"/>
              </w:rPr>
              <w:t>金华</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560" w:lineRule="exact"/>
              <w:jc w:val="center"/>
              <w:rPr>
                <w:rFonts w:ascii="宋体" w:hAnsi="宋体" w:eastAsia="宋体" w:cs="宋体"/>
                <w:b/>
                <w:bCs/>
                <w:sz w:val="28"/>
                <w:szCs w:val="28"/>
              </w:rPr>
            </w:pPr>
            <w:r>
              <w:rPr>
                <w:rFonts w:ascii="宋体" w:hAnsi="宋体" w:eastAsia="宋体" w:cs="宋体"/>
                <w:b/>
                <w:bCs/>
                <w:sz w:val="28"/>
                <w:szCs w:val="28"/>
              </w:rPr>
              <w:t>独立董事</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560" w:lineRule="exact"/>
              <w:jc w:val="center"/>
              <w:rPr>
                <w:rFonts w:ascii="宋体" w:hAnsi="宋体" w:eastAsia="宋体" w:cs="宋体"/>
                <w:b/>
                <w:bCs/>
                <w:sz w:val="28"/>
                <w:szCs w:val="28"/>
              </w:rPr>
            </w:pPr>
            <w:r>
              <w:rPr>
                <w:rFonts w:ascii="宋体" w:hAnsi="宋体" w:eastAsia="宋体" w:cs="宋体"/>
                <w:b/>
                <w:bCs/>
                <w:sz w:val="28"/>
                <w:szCs w:val="28"/>
              </w:rPr>
              <w:t>因公无法出席</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560" w:lineRule="exact"/>
              <w:jc w:val="center"/>
              <w:rPr>
                <w:rFonts w:ascii="宋体" w:hAnsi="宋体" w:eastAsia="宋体" w:cs="宋体"/>
                <w:b/>
                <w:bCs/>
                <w:sz w:val="28"/>
                <w:szCs w:val="28"/>
              </w:rPr>
            </w:pPr>
            <w:r>
              <w:rPr>
                <w:rFonts w:ascii="宋体" w:hAnsi="宋体" w:eastAsia="宋体" w:cs="宋体"/>
                <w:b/>
                <w:bCs/>
                <w:sz w:val="28"/>
                <w:szCs w:val="28"/>
              </w:rPr>
              <w:t>张学栋</w:t>
            </w:r>
          </w:p>
        </w:tc>
      </w:tr>
    </w:tbl>
    <w:p>
      <w:pPr>
        <w:pStyle w:val="5"/>
        <w:keepNext w:val="0"/>
        <w:keepLines w:val="0"/>
        <w:widowControl/>
        <w:suppressLineNumbers w:val="0"/>
        <w:spacing w:line="560" w:lineRule="atLeast"/>
        <w:ind w:left="0" w:firstLine="420"/>
        <w:rPr>
          <w:rFonts w:hint="eastAsia" w:ascii="宋体" w:hAnsi="宋体" w:eastAsia="宋体" w:cs="宋体"/>
          <w:b/>
          <w:sz w:val="28"/>
          <w:szCs w:val="28"/>
        </w:rPr>
      </w:pPr>
      <w:r>
        <w:rPr>
          <w:rFonts w:hint="eastAsia" w:ascii="宋体" w:hAnsi="宋体" w:eastAsia="宋体" w:cs="宋体"/>
          <w:b/>
          <w:sz w:val="28"/>
          <w:szCs w:val="28"/>
        </w:rPr>
        <w:t>公司已在本报告中详细描述可能存在的风险，具体内容详见本报告“第三节管理层讨论与分析”之“十、公司面临的风险和应对措施”。</w:t>
      </w:r>
    </w:p>
    <w:p>
      <w:pPr>
        <w:spacing w:before="0" w:after="0" w:line="560" w:lineRule="exact"/>
        <w:ind w:firstLine="560" w:firstLineChars="200"/>
        <w:jc w:val="left"/>
        <w:rPr>
          <w:rFonts w:ascii="宋体" w:hAnsi="宋体" w:eastAsia="宋体" w:cs="宋体"/>
          <w:b/>
          <w:bCs/>
          <w:sz w:val="28"/>
          <w:szCs w:val="28"/>
        </w:rPr>
      </w:pPr>
      <w:r>
        <w:rPr>
          <w:rFonts w:ascii="宋体" w:hAnsi="宋体" w:eastAsia="宋体" w:cs="宋体"/>
          <w:b/>
          <w:bCs/>
          <w:sz w:val="28"/>
          <w:szCs w:val="28"/>
        </w:rPr>
        <w:t>公司经本次董事会审议通过的利润分配预案为：以2,790,208,174股为基数，向全体股东每10股派发现金红利1.17元（含税），送红股0股（含税），不以公积金转增股本。</w:t>
      </w:r>
    </w:p>
    <w:p>
      <w:r>
        <w:br w:type="page"/>
      </w:r>
    </w:p>
    <w:p>
      <w:pPr>
        <w:spacing w:before="0" w:after="0" w:line="720" w:lineRule="exact"/>
        <w:jc w:val="center"/>
        <w:rPr>
          <w:rFonts w:ascii="宋体" w:hAnsi="宋体" w:eastAsia="宋体" w:cs="宋体"/>
          <w:b/>
          <w:bCs/>
          <w:sz w:val="36"/>
          <w:szCs w:val="36"/>
        </w:rPr>
      </w:pPr>
      <w:r>
        <w:rPr>
          <w:rFonts w:ascii="宋体" w:hAnsi="宋体" w:eastAsia="宋体" w:cs="宋体"/>
          <w:b/>
          <w:bCs/>
          <w:sz w:val="36"/>
          <w:szCs w:val="36"/>
        </w:rPr>
        <w:t>目录</w:t>
      </w:r>
    </w:p>
    <w:p>
      <w:pPr>
        <w:tabs>
          <w:tab w:val="left" w:leader="dot" w:pos="9469"/>
        </w:tabs>
      </w:pPr>
      <w:r>
        <w:fldChar w:fldCharType="begin"/>
      </w:r>
      <w:r>
        <w:instrText xml:space="preserve"> </w:instrText>
      </w:r>
      <w:r>
        <w:rPr>
          <w:rFonts w:hint="eastAsia" w:ascii="宋体" w:hAnsi="宋体" w:eastAsia="宋体"/>
        </w:rPr>
        <w:instrText xml:space="preserve">TOC \o "1-2" \h \z \u</w:instrText>
      </w:r>
      <w:r>
        <w:instrText xml:space="preserve"> </w:instrText>
      </w:r>
      <w:r>
        <w:fldChar w:fldCharType="separate"/>
      </w:r>
      <w:r>
        <w:fldChar w:fldCharType="begin"/>
      </w:r>
      <w:r>
        <w:instrText xml:space="preserve"> HYPERLINK \l "_Toc988889" </w:instrText>
      </w:r>
      <w:r>
        <w:fldChar w:fldCharType="separate"/>
      </w:r>
      <w:r>
        <w:rPr>
          <w:rFonts w:hint="eastAsia" w:ascii="宋体" w:hAnsi="宋体" w:eastAsia="宋体"/>
          <w:b/>
          <w:bCs/>
          <w:sz w:val="24"/>
        </w:rPr>
        <w:t>第一节 重要提示、目录和释义</w:t>
      </w:r>
      <w:r>
        <w:tab/>
      </w:r>
      <w:r>
        <w:rPr>
          <w:rFonts w:hint="eastAsia"/>
          <w:lang w:val="en-US" w:eastAsia="zh-CN"/>
        </w:rPr>
        <w:t>2</w:t>
      </w:r>
      <w:r>
        <w:fldChar w:fldCharType="end"/>
      </w:r>
    </w:p>
    <w:p>
      <w:pPr>
        <w:tabs>
          <w:tab w:val="left" w:leader="dot" w:pos="9469"/>
        </w:tabs>
      </w:pPr>
      <w:r>
        <w:fldChar w:fldCharType="begin"/>
      </w:r>
      <w:r>
        <w:instrText xml:space="preserve"> HYPERLINK \l "_Toc988890" </w:instrText>
      </w:r>
      <w:r>
        <w:fldChar w:fldCharType="separate"/>
      </w:r>
      <w:r>
        <w:rPr>
          <w:rFonts w:hint="eastAsia" w:ascii="宋体" w:hAnsi="宋体" w:eastAsia="宋体"/>
          <w:b/>
          <w:bCs/>
          <w:sz w:val="24"/>
        </w:rPr>
        <w:t>第二节 公司简介和主要财务指标</w:t>
      </w:r>
      <w:r>
        <w:tab/>
      </w:r>
      <w:r>
        <w:rPr>
          <w:rFonts w:hint="eastAsia"/>
          <w:lang w:val="en-US" w:eastAsia="zh-CN"/>
        </w:rPr>
        <w:t>6</w:t>
      </w:r>
      <w:r>
        <w:fldChar w:fldCharType="end"/>
      </w:r>
    </w:p>
    <w:p>
      <w:pPr>
        <w:tabs>
          <w:tab w:val="left" w:leader="dot" w:pos="9469"/>
        </w:tabs>
      </w:pPr>
      <w:r>
        <w:fldChar w:fldCharType="begin"/>
      </w:r>
      <w:r>
        <w:instrText xml:space="preserve"> HYPERLINK \l "_Toc988902" </w:instrText>
      </w:r>
      <w:r>
        <w:fldChar w:fldCharType="separate"/>
      </w:r>
      <w:r>
        <w:rPr>
          <w:rFonts w:hint="eastAsia" w:ascii="宋体" w:hAnsi="宋体" w:eastAsia="宋体"/>
          <w:b/>
          <w:bCs/>
          <w:sz w:val="24"/>
        </w:rPr>
        <w:t>第三节 管理层讨论与分析</w:t>
      </w:r>
      <w:r>
        <w:tab/>
      </w:r>
      <w:r>
        <w:rPr>
          <w:rFonts w:hint="eastAsia"/>
          <w:lang w:val="en-US" w:eastAsia="zh-CN"/>
        </w:rPr>
        <w:t>9</w:t>
      </w:r>
      <w:r>
        <w:fldChar w:fldCharType="end"/>
      </w:r>
    </w:p>
    <w:p>
      <w:pPr>
        <w:tabs>
          <w:tab w:val="left" w:leader="dot" w:pos="9469"/>
        </w:tabs>
        <w:rPr>
          <w:rFonts w:hint="eastAsia" w:eastAsia="宋体"/>
          <w:lang w:val="en-US" w:eastAsia="zh-CN"/>
        </w:rPr>
      </w:pPr>
      <w:r>
        <w:fldChar w:fldCharType="begin"/>
      </w:r>
      <w:r>
        <w:instrText xml:space="preserve"> HYPERLINK \l "_Toc988930" </w:instrText>
      </w:r>
      <w:r>
        <w:fldChar w:fldCharType="separate"/>
      </w:r>
      <w:r>
        <w:rPr>
          <w:rFonts w:hint="eastAsia" w:ascii="宋体" w:hAnsi="宋体" w:eastAsia="宋体"/>
          <w:b/>
          <w:bCs/>
          <w:sz w:val="24"/>
        </w:rPr>
        <w:t>第四节 公司治理</w:t>
      </w:r>
      <w:r>
        <w:tab/>
      </w:r>
      <w:r>
        <w:rPr>
          <w:rFonts w:hint="eastAsia"/>
          <w:lang w:val="en-US" w:eastAsia="zh-CN"/>
        </w:rPr>
        <w:t>2</w:t>
      </w:r>
      <w:r>
        <w:fldChar w:fldCharType="end"/>
      </w:r>
      <w:r>
        <w:rPr>
          <w:rFonts w:hint="eastAsia"/>
          <w:lang w:val="en-US" w:eastAsia="zh-CN"/>
        </w:rPr>
        <w:t>3</w:t>
      </w:r>
    </w:p>
    <w:p>
      <w:pPr>
        <w:tabs>
          <w:tab w:val="left" w:leader="dot" w:pos="9469"/>
        </w:tabs>
        <w:rPr>
          <w:rFonts w:hint="eastAsia" w:eastAsia="宋体"/>
          <w:lang w:val="en-US" w:eastAsia="zh-CN"/>
        </w:rPr>
      </w:pPr>
      <w:r>
        <w:fldChar w:fldCharType="begin"/>
      </w:r>
      <w:r>
        <w:instrText xml:space="preserve"> HYPERLINK \l "_Toc988937" </w:instrText>
      </w:r>
      <w:r>
        <w:fldChar w:fldCharType="separate"/>
      </w:r>
      <w:r>
        <w:rPr>
          <w:rFonts w:hint="eastAsia" w:ascii="宋体" w:hAnsi="宋体" w:eastAsia="宋体"/>
          <w:b/>
          <w:bCs/>
          <w:sz w:val="24"/>
        </w:rPr>
        <w:t>第五节 环境和社会责任</w:t>
      </w:r>
      <w:r>
        <w:tab/>
      </w:r>
      <w:r>
        <w:rPr>
          <w:rFonts w:hint="eastAsia"/>
          <w:lang w:val="en-US" w:eastAsia="zh-CN"/>
        </w:rPr>
        <w:t>2</w:t>
      </w:r>
      <w:r>
        <w:fldChar w:fldCharType="end"/>
      </w:r>
      <w:r>
        <w:rPr>
          <w:rFonts w:hint="eastAsia"/>
          <w:lang w:val="en-US" w:eastAsia="zh-CN"/>
        </w:rPr>
        <w:t>6</w:t>
      </w:r>
    </w:p>
    <w:p>
      <w:pPr>
        <w:tabs>
          <w:tab w:val="left" w:leader="dot" w:pos="9469"/>
        </w:tabs>
        <w:rPr>
          <w:rFonts w:hint="eastAsia" w:eastAsia="宋体"/>
          <w:lang w:val="en-US" w:eastAsia="zh-CN"/>
        </w:rPr>
      </w:pPr>
      <w:r>
        <w:fldChar w:fldCharType="begin"/>
      </w:r>
      <w:r>
        <w:instrText xml:space="preserve"> HYPERLINK \l "_Toc988940" </w:instrText>
      </w:r>
      <w:r>
        <w:fldChar w:fldCharType="separate"/>
      </w:r>
      <w:r>
        <w:rPr>
          <w:rFonts w:hint="eastAsia" w:ascii="宋体" w:hAnsi="宋体" w:eastAsia="宋体"/>
          <w:b/>
          <w:bCs/>
          <w:sz w:val="24"/>
        </w:rPr>
        <w:t>第六节 重要事项</w:t>
      </w:r>
      <w:r>
        <w:tab/>
      </w:r>
      <w:r>
        <w:rPr>
          <w:rFonts w:hint="eastAsia"/>
          <w:lang w:val="en-US" w:eastAsia="zh-CN"/>
        </w:rPr>
        <w:t>3</w:t>
      </w:r>
      <w:r>
        <w:fldChar w:fldCharType="end"/>
      </w:r>
      <w:r>
        <w:rPr>
          <w:rFonts w:hint="eastAsia"/>
          <w:lang w:val="en-US" w:eastAsia="zh-CN"/>
        </w:rPr>
        <w:t>2</w:t>
      </w:r>
    </w:p>
    <w:p>
      <w:pPr>
        <w:tabs>
          <w:tab w:val="left" w:leader="dot" w:pos="9469"/>
        </w:tabs>
        <w:rPr>
          <w:rFonts w:hint="eastAsia" w:eastAsia="宋体"/>
          <w:lang w:val="en-US" w:eastAsia="zh-CN"/>
        </w:rPr>
      </w:pPr>
      <w:r>
        <w:fldChar w:fldCharType="begin"/>
      </w:r>
      <w:r>
        <w:instrText xml:space="preserve"> HYPERLINK \l "_Toc988969" </w:instrText>
      </w:r>
      <w:r>
        <w:fldChar w:fldCharType="separate"/>
      </w:r>
      <w:r>
        <w:rPr>
          <w:rFonts w:hint="eastAsia" w:ascii="宋体" w:hAnsi="宋体" w:eastAsia="宋体"/>
          <w:b/>
          <w:bCs/>
          <w:sz w:val="24"/>
        </w:rPr>
        <w:t>第七节 股份变动及股东情况</w:t>
      </w:r>
      <w:r>
        <w:tab/>
      </w:r>
      <w:r>
        <w:rPr>
          <w:rFonts w:hint="eastAsia"/>
          <w:lang w:val="en-US" w:eastAsia="zh-CN"/>
        </w:rPr>
        <w:t>4</w:t>
      </w:r>
      <w:r>
        <w:fldChar w:fldCharType="end"/>
      </w:r>
      <w:r>
        <w:rPr>
          <w:rFonts w:hint="eastAsia"/>
          <w:lang w:val="en-US" w:eastAsia="zh-CN"/>
        </w:rPr>
        <w:t>3</w:t>
      </w:r>
    </w:p>
    <w:p>
      <w:pPr>
        <w:tabs>
          <w:tab w:val="left" w:leader="dot" w:pos="9469"/>
        </w:tabs>
        <w:rPr>
          <w:rFonts w:hint="eastAsia" w:eastAsia="宋体"/>
          <w:lang w:val="en-US" w:eastAsia="zh-CN"/>
        </w:rPr>
      </w:pPr>
      <w:r>
        <w:fldChar w:fldCharType="begin"/>
      </w:r>
      <w:r>
        <w:instrText xml:space="preserve"> HYPERLINK \l "_Toc988977" </w:instrText>
      </w:r>
      <w:r>
        <w:fldChar w:fldCharType="separate"/>
      </w:r>
      <w:r>
        <w:rPr>
          <w:rFonts w:hint="eastAsia" w:ascii="宋体" w:hAnsi="宋体" w:eastAsia="宋体"/>
          <w:b/>
          <w:bCs/>
          <w:sz w:val="24"/>
        </w:rPr>
        <w:t>第八节 优先股相关情况</w:t>
      </w:r>
      <w:r>
        <w:tab/>
      </w:r>
      <w:r>
        <w:rPr>
          <w:rFonts w:hint="eastAsia"/>
          <w:lang w:val="en-US" w:eastAsia="zh-CN"/>
        </w:rPr>
        <w:t>4</w:t>
      </w:r>
      <w:r>
        <w:fldChar w:fldCharType="end"/>
      </w:r>
      <w:r>
        <w:rPr>
          <w:rFonts w:hint="eastAsia"/>
          <w:lang w:val="en-US" w:eastAsia="zh-CN"/>
        </w:rPr>
        <w:t>8</w:t>
      </w:r>
    </w:p>
    <w:p>
      <w:pPr>
        <w:tabs>
          <w:tab w:val="left" w:leader="dot" w:pos="9469"/>
        </w:tabs>
        <w:rPr>
          <w:rFonts w:hint="eastAsia" w:eastAsia="宋体"/>
          <w:lang w:val="en-US" w:eastAsia="zh-CN"/>
        </w:rPr>
      </w:pPr>
      <w:r>
        <w:fldChar w:fldCharType="begin"/>
      </w:r>
      <w:r>
        <w:instrText xml:space="preserve"> HYPERLINK \l "_Toc988978" </w:instrText>
      </w:r>
      <w:r>
        <w:fldChar w:fldCharType="separate"/>
      </w:r>
      <w:r>
        <w:rPr>
          <w:rFonts w:hint="eastAsia" w:ascii="宋体" w:hAnsi="宋体" w:eastAsia="宋体"/>
          <w:b/>
          <w:bCs/>
          <w:sz w:val="24"/>
        </w:rPr>
        <w:t>第九节 债券相关情况</w:t>
      </w:r>
      <w:r>
        <w:tab/>
      </w:r>
      <w:r>
        <w:rPr>
          <w:rFonts w:hint="eastAsia"/>
          <w:lang w:val="en-US" w:eastAsia="zh-CN"/>
        </w:rPr>
        <w:t>4</w:t>
      </w:r>
      <w:r>
        <w:fldChar w:fldCharType="end"/>
      </w:r>
      <w:r>
        <w:rPr>
          <w:rFonts w:hint="eastAsia"/>
          <w:lang w:val="en-US" w:eastAsia="zh-CN"/>
        </w:rPr>
        <w:t>9</w:t>
      </w:r>
    </w:p>
    <w:p>
      <w:pPr>
        <w:tabs>
          <w:tab w:val="left" w:leader="dot" w:pos="9469"/>
        </w:tabs>
        <w:rPr>
          <w:rFonts w:hint="eastAsia" w:eastAsia="宋体"/>
          <w:lang w:val="en-US" w:eastAsia="zh-CN"/>
        </w:rPr>
      </w:pPr>
      <w:r>
        <w:fldChar w:fldCharType="begin"/>
      </w:r>
      <w:r>
        <w:instrText xml:space="preserve"> HYPERLINK \l "_Toc988993" </w:instrText>
      </w:r>
      <w:r>
        <w:fldChar w:fldCharType="separate"/>
      </w:r>
      <w:r>
        <w:rPr>
          <w:rFonts w:hint="eastAsia" w:ascii="宋体" w:hAnsi="宋体" w:eastAsia="宋体"/>
          <w:b/>
          <w:bCs/>
          <w:sz w:val="24"/>
        </w:rPr>
        <w:t>第十节 财务报告</w:t>
      </w:r>
      <w:r>
        <w:tab/>
      </w:r>
      <w:r>
        <w:rPr>
          <w:rFonts w:hint="eastAsia"/>
          <w:lang w:val="en-US" w:eastAsia="zh-CN"/>
        </w:rPr>
        <w:t>5</w:t>
      </w:r>
      <w:r>
        <w:fldChar w:fldCharType="end"/>
      </w:r>
      <w:r>
        <w:fldChar w:fldCharType="end"/>
      </w:r>
      <w:r>
        <w:rPr>
          <w:rFonts w:hint="eastAsia"/>
          <w:lang w:val="en-US" w:eastAsia="zh-CN"/>
        </w:rPr>
        <w:t>3</w:t>
      </w:r>
    </w:p>
    <w:p>
      <w:r>
        <w:br w:type="page"/>
      </w:r>
    </w:p>
    <w:p>
      <w:pPr>
        <w:spacing w:before="0" w:after="0" w:line="640" w:lineRule="exact"/>
        <w:jc w:val="center"/>
        <w:rPr>
          <w:rFonts w:ascii="宋体" w:hAnsi="宋体" w:eastAsia="宋体" w:cs="宋体"/>
          <w:b/>
          <w:bCs/>
          <w:sz w:val="32"/>
          <w:szCs w:val="32"/>
        </w:rPr>
      </w:pPr>
      <w:r>
        <w:rPr>
          <w:rFonts w:ascii="宋体" w:hAnsi="宋体" w:eastAsia="宋体" w:cs="宋体"/>
          <w:b/>
          <w:bCs/>
          <w:sz w:val="32"/>
          <w:szCs w:val="32"/>
        </w:rPr>
        <w:t>备查文件目录</w:t>
      </w:r>
    </w:p>
    <w:p>
      <w:pPr>
        <w:pStyle w:val="5"/>
        <w:keepNext w:val="0"/>
        <w:keepLines w:val="0"/>
        <w:widowControl/>
        <w:suppressLineNumbers w:val="0"/>
        <w:spacing w:line="560" w:lineRule="atLeast"/>
        <w:rPr>
          <w:rFonts w:hint="eastAsia" w:ascii="宋体" w:hAnsi="宋体" w:eastAsia="宋体" w:cs="宋体"/>
          <w:sz w:val="21"/>
          <w:szCs w:val="21"/>
        </w:rPr>
      </w:pPr>
      <w:r>
        <w:rPr>
          <w:rFonts w:hint="eastAsia" w:ascii="宋体" w:hAnsi="宋体" w:eastAsia="宋体" w:cs="宋体"/>
          <w:sz w:val="21"/>
          <w:szCs w:val="21"/>
        </w:rPr>
        <w:t>1.载有单位负责人、财务负责人（主管会计机构的负责人）、会计机构负责人签名并盖章的财务报告文本；</w:t>
      </w:r>
      <w:bookmarkStart w:id="571" w:name="_GoBack"/>
      <w:bookmarkEnd w:id="571"/>
    </w:p>
    <w:p>
      <w:pPr>
        <w:pStyle w:val="5"/>
        <w:keepNext w:val="0"/>
        <w:keepLines w:val="0"/>
        <w:widowControl/>
        <w:suppressLineNumbers w:val="0"/>
        <w:spacing w:line="560" w:lineRule="atLeast"/>
        <w:rPr>
          <w:rFonts w:hint="eastAsia" w:ascii="宋体" w:hAnsi="宋体" w:eastAsia="宋体" w:cs="宋体"/>
          <w:sz w:val="21"/>
          <w:szCs w:val="21"/>
        </w:rPr>
      </w:pPr>
      <w:r>
        <w:rPr>
          <w:rFonts w:hint="eastAsia" w:ascii="宋体" w:hAnsi="宋体" w:eastAsia="宋体" w:cs="宋体"/>
          <w:sz w:val="21"/>
          <w:szCs w:val="21"/>
        </w:rPr>
        <w:t>2.报告期内在中国证监会指定报纸——证券时报、中国证券报、上海证券报上公开披露过的所有公司文件的正本及公告原稿。</w:t>
      </w:r>
    </w:p>
    <w:p>
      <w:r>
        <w:br w:type="page"/>
      </w:r>
    </w:p>
    <w:p>
      <w:pPr>
        <w:spacing w:before="40" w:after="40" w:line="640" w:lineRule="exact"/>
        <w:jc w:val="center"/>
        <w:rPr>
          <w:rFonts w:ascii="宋体" w:hAnsi="宋体" w:eastAsia="宋体" w:cs="宋体"/>
          <w:b/>
          <w:bCs/>
          <w:sz w:val="32"/>
          <w:szCs w:val="32"/>
        </w:rPr>
      </w:pPr>
      <w:r>
        <w:rPr>
          <w:rFonts w:ascii="宋体" w:hAnsi="宋体" w:eastAsia="宋体" w:cs="宋体"/>
          <w:b/>
          <w:bCs/>
          <w:sz w:val="32"/>
          <w:szCs w:val="32"/>
        </w:rPr>
        <w:t>释义</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320"/>
        <w:gridCol w:w="941"/>
        <w:gridCol w:w="437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释义项</w:t>
            </w:r>
          </w:p>
        </w:tc>
        <w:tc>
          <w:tcPr>
            <w:tcW w:w="9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437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释义内容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吉电股份/本公司/公司</w:t>
            </w:r>
          </w:p>
        </w:tc>
        <w:tc>
          <w:tcPr>
            <w:tcW w:w="9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437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w:t>
            </w:r>
          </w:p>
        </w:tc>
        <w:tc>
          <w:tcPr>
            <w:tcW w:w="9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437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国家电力投资集团公司、国家电力投资集团有限公司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吉林能投/第一大股东</w:t>
            </w:r>
          </w:p>
        </w:tc>
        <w:tc>
          <w:tcPr>
            <w:tcW w:w="9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437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国家电投集团吉林省能源交通总公司、国家电投集团吉林能源投资有限公司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中国电能</w:t>
            </w:r>
          </w:p>
        </w:tc>
        <w:tc>
          <w:tcPr>
            <w:tcW w:w="9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437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中国电能成套设备有限公司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财务公司</w:t>
            </w:r>
          </w:p>
        </w:tc>
        <w:tc>
          <w:tcPr>
            <w:tcW w:w="9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437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eastAsia" w:ascii="宋体" w:hAnsi="宋体" w:eastAsia="宋体" w:cs="宋体"/>
                <w:sz w:val="18"/>
                <w:szCs w:val="18"/>
                <w:lang w:eastAsia="zh-CN"/>
              </w:rPr>
            </w:pPr>
            <w:r>
              <w:rPr>
                <w:rFonts w:hint="eastAsia" w:ascii="宋体" w:hAnsi="宋体" w:cs="宋体"/>
                <w:sz w:val="18"/>
                <w:szCs w:val="18"/>
                <w:lang w:eastAsia="zh-CN"/>
              </w:rPr>
              <w:t>发改委</w:t>
            </w:r>
          </w:p>
        </w:tc>
        <w:tc>
          <w:tcPr>
            <w:tcW w:w="9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437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eastAsia" w:ascii="宋体" w:hAnsi="宋体" w:eastAsia="宋体" w:cs="宋体"/>
                <w:sz w:val="18"/>
                <w:szCs w:val="18"/>
                <w:lang w:eastAsia="zh-CN"/>
              </w:rPr>
            </w:pPr>
            <w:r>
              <w:rPr>
                <w:rFonts w:hint="eastAsia" w:ascii="宋体" w:hAnsi="宋体" w:cs="宋体"/>
                <w:sz w:val="18"/>
                <w:szCs w:val="18"/>
                <w:lang w:eastAsia="zh-CN"/>
              </w:rPr>
              <w:t>中华人民共和国国家发展和改革委员会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eastAsia" w:ascii="宋体" w:hAnsi="宋体" w:eastAsia="宋体" w:cs="宋体"/>
                <w:sz w:val="18"/>
                <w:szCs w:val="18"/>
                <w:lang w:eastAsia="zh-CN"/>
              </w:rPr>
            </w:pPr>
            <w:r>
              <w:rPr>
                <w:rFonts w:hint="eastAsia" w:ascii="宋体" w:hAnsi="宋体" w:cs="宋体"/>
                <w:sz w:val="18"/>
                <w:szCs w:val="18"/>
                <w:lang w:eastAsia="zh-CN"/>
              </w:rPr>
              <w:t>环保部</w:t>
            </w:r>
          </w:p>
        </w:tc>
        <w:tc>
          <w:tcPr>
            <w:tcW w:w="9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437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eastAsia" w:ascii="宋体" w:hAnsi="宋体" w:eastAsia="宋体" w:cs="宋体"/>
                <w:sz w:val="18"/>
                <w:szCs w:val="18"/>
                <w:lang w:eastAsia="zh-CN"/>
              </w:rPr>
            </w:pPr>
            <w:r>
              <w:rPr>
                <w:rFonts w:hint="eastAsia" w:ascii="宋体" w:hAnsi="宋体" w:cs="宋体"/>
                <w:sz w:val="18"/>
                <w:szCs w:val="18"/>
                <w:lang w:eastAsia="zh-CN"/>
              </w:rPr>
              <w:t>中华人民共和国生态环境部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eastAsia" w:ascii="宋体" w:hAnsi="宋体" w:eastAsia="宋体" w:cs="宋体"/>
                <w:sz w:val="18"/>
                <w:szCs w:val="18"/>
                <w:lang w:eastAsia="zh-CN"/>
              </w:rPr>
            </w:pPr>
            <w:r>
              <w:rPr>
                <w:rFonts w:hint="eastAsia" w:ascii="宋体" w:hAnsi="宋体" w:cs="宋体"/>
                <w:sz w:val="18"/>
                <w:szCs w:val="18"/>
                <w:lang w:eastAsia="zh-CN"/>
              </w:rPr>
              <w:t>能源局</w:t>
            </w:r>
          </w:p>
        </w:tc>
        <w:tc>
          <w:tcPr>
            <w:tcW w:w="9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437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eastAsia" w:ascii="宋体" w:hAnsi="宋体" w:eastAsia="宋体" w:cs="宋体"/>
                <w:sz w:val="18"/>
                <w:szCs w:val="18"/>
                <w:lang w:eastAsia="zh-CN"/>
              </w:rPr>
            </w:pPr>
            <w:r>
              <w:rPr>
                <w:rFonts w:hint="eastAsia" w:ascii="宋体" w:hAnsi="宋体" w:cs="宋体"/>
                <w:sz w:val="18"/>
                <w:szCs w:val="18"/>
                <w:lang w:eastAsia="zh-CN"/>
              </w:rPr>
              <w:t>国家能源局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中国证监会、证监会</w:t>
            </w:r>
          </w:p>
        </w:tc>
        <w:tc>
          <w:tcPr>
            <w:tcW w:w="9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437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中国证券监督管理委员会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深交所</w:t>
            </w:r>
          </w:p>
        </w:tc>
        <w:tc>
          <w:tcPr>
            <w:tcW w:w="9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437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深圳证券交易所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元</w:t>
            </w:r>
          </w:p>
        </w:tc>
        <w:tc>
          <w:tcPr>
            <w:tcW w:w="9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437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报告期</w:t>
            </w:r>
          </w:p>
        </w:tc>
        <w:tc>
          <w:tcPr>
            <w:tcW w:w="9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437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2024年1月1日至2024年6月30日</w:t>
            </w:r>
          </w:p>
        </w:tc>
      </w:tr>
    </w:tbl>
    <w:p>
      <w:r>
        <w:br w:type="page"/>
      </w:r>
    </w:p>
    <w:p>
      <w:pPr>
        <w:keepNext/>
        <w:keepLines/>
        <w:spacing w:before="340" w:after="330" w:line="773" w:lineRule="exact"/>
        <w:jc w:val="center"/>
        <w:outlineLvl w:val="0"/>
        <w:rPr>
          <w:rFonts w:ascii="宋体" w:hAnsi="宋体" w:eastAsia="宋体" w:cs="宋体"/>
          <w:b/>
          <w:bCs/>
          <w:sz w:val="32"/>
          <w:szCs w:val="32"/>
        </w:rPr>
      </w:pPr>
      <w:bookmarkStart w:id="1" w:name="_Toc988890"/>
      <w:r>
        <w:rPr>
          <w:rFonts w:ascii="宋体" w:hAnsi="宋体" w:eastAsia="宋体" w:cs="宋体"/>
          <w:b/>
          <w:bCs/>
          <w:sz w:val="32"/>
          <w:szCs w:val="32"/>
        </w:rPr>
        <w:t>第二节 公司简介和主要财务指标</w:t>
      </w:r>
      <w:bookmarkEnd w:id="1"/>
    </w:p>
    <w:p>
      <w:pPr>
        <w:keepNext/>
        <w:keepLines/>
        <w:spacing w:before="300" w:after="300" w:line="320" w:lineRule="exact"/>
        <w:jc w:val="left"/>
        <w:outlineLvl w:val="1"/>
        <w:rPr>
          <w:rFonts w:ascii="宋体" w:hAnsi="宋体" w:eastAsia="宋体" w:cs="宋体"/>
          <w:b/>
          <w:bCs/>
          <w:sz w:val="24"/>
          <w:szCs w:val="24"/>
        </w:rPr>
      </w:pPr>
      <w:bookmarkStart w:id="2" w:name="_Toc988891"/>
      <w:r>
        <w:rPr>
          <w:rFonts w:ascii="宋体" w:hAnsi="宋体" w:eastAsia="宋体" w:cs="宋体"/>
          <w:b/>
          <w:bCs/>
          <w:sz w:val="24"/>
          <w:szCs w:val="24"/>
        </w:rPr>
        <w:t>一、公司简介</w:t>
      </w:r>
      <w:bookmarkEnd w:id="2"/>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股票简称</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吉电股份</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股票代码</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000875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股票上市证券交易所</w:t>
            </w:r>
          </w:p>
        </w:tc>
        <w:tc>
          <w:tcPr>
            <w:tcW w:w="723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深圳证券交易所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公司的中文名称</w:t>
            </w:r>
          </w:p>
        </w:tc>
        <w:tc>
          <w:tcPr>
            <w:tcW w:w="723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公司的中文简称（如有）</w:t>
            </w:r>
          </w:p>
        </w:tc>
        <w:tc>
          <w:tcPr>
            <w:tcW w:w="723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吉电股份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公司的外文名称（如有）</w:t>
            </w:r>
          </w:p>
        </w:tc>
        <w:tc>
          <w:tcPr>
            <w:tcW w:w="723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JILIN ELECTRIC POWER CO.,LTD.</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公司的外文名称缩写（如有）</w:t>
            </w:r>
          </w:p>
        </w:tc>
        <w:tc>
          <w:tcPr>
            <w:tcW w:w="723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JEP</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公司的法定代表人</w:t>
            </w:r>
          </w:p>
        </w:tc>
        <w:tc>
          <w:tcPr>
            <w:tcW w:w="723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牛国君</w:t>
            </w:r>
          </w:p>
        </w:tc>
      </w:tr>
    </w:tbl>
    <w:p>
      <w:pPr>
        <w:keepNext/>
        <w:keepLines/>
        <w:spacing w:before="300" w:after="300" w:line="320" w:lineRule="exact"/>
        <w:jc w:val="left"/>
        <w:outlineLvl w:val="1"/>
        <w:rPr>
          <w:rFonts w:ascii="宋体" w:hAnsi="宋体" w:eastAsia="宋体" w:cs="宋体"/>
          <w:b/>
          <w:bCs/>
          <w:sz w:val="24"/>
          <w:szCs w:val="24"/>
        </w:rPr>
      </w:pPr>
      <w:bookmarkStart w:id="3" w:name="_Toc988892"/>
      <w:r>
        <w:rPr>
          <w:rFonts w:ascii="宋体" w:hAnsi="宋体" w:eastAsia="宋体" w:cs="宋体"/>
          <w:b/>
          <w:bCs/>
          <w:sz w:val="24"/>
          <w:szCs w:val="24"/>
        </w:rPr>
        <w:t>二、联系人和联系方式</w:t>
      </w:r>
      <w:bookmarkEnd w:id="3"/>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董事会秘书</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证券事务代表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姓名</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刘爽</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高雪</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联系地址</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吉林省长春市人民大街9699号，邮编130022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吉林省长春市人民大街9699号，邮编130022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电话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0431-81150932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0431-81150933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传真</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0431-81150997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0431-81150997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电子信箱</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jdgf@spic.com.cn</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jdgf@spic.com.cn</w:t>
            </w:r>
          </w:p>
        </w:tc>
      </w:tr>
    </w:tbl>
    <w:p>
      <w:pPr>
        <w:keepNext/>
        <w:keepLines/>
        <w:spacing w:before="300" w:after="300" w:line="320" w:lineRule="exact"/>
        <w:jc w:val="left"/>
        <w:outlineLvl w:val="1"/>
        <w:rPr>
          <w:rFonts w:ascii="宋体" w:hAnsi="宋体" w:eastAsia="宋体" w:cs="宋体"/>
          <w:b/>
          <w:bCs/>
          <w:sz w:val="24"/>
          <w:szCs w:val="24"/>
        </w:rPr>
      </w:pPr>
      <w:bookmarkStart w:id="4" w:name="_Toc988893"/>
      <w:r>
        <w:rPr>
          <w:rFonts w:ascii="宋体" w:hAnsi="宋体" w:eastAsia="宋体" w:cs="宋体"/>
          <w:b/>
          <w:bCs/>
          <w:sz w:val="24"/>
          <w:szCs w:val="24"/>
        </w:rPr>
        <w:t>三、其他情况</w:t>
      </w:r>
      <w:bookmarkEnd w:id="4"/>
    </w:p>
    <w:p>
      <w:pPr>
        <w:keepNext/>
        <w:keepLines/>
        <w:spacing w:before="300" w:after="300" w:line="280" w:lineRule="exact"/>
        <w:jc w:val="left"/>
        <w:outlineLvl w:val="2"/>
        <w:rPr>
          <w:rFonts w:ascii="宋体" w:hAnsi="宋体" w:eastAsia="宋体" w:cs="宋体"/>
          <w:b/>
          <w:bCs/>
          <w:sz w:val="21"/>
          <w:szCs w:val="21"/>
        </w:rPr>
      </w:pPr>
      <w:bookmarkStart w:id="5" w:name="_Toc988894"/>
      <w:r>
        <w:rPr>
          <w:rFonts w:ascii="宋体" w:hAnsi="宋体" w:eastAsia="宋体" w:cs="宋体"/>
          <w:b/>
          <w:bCs/>
          <w:sz w:val="21"/>
          <w:szCs w:val="21"/>
        </w:rPr>
        <w:t>1、公司联系方式</w:t>
      </w:r>
      <w:bookmarkEnd w:id="5"/>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公司注册地址、公司办公地址及其邮政编码、公司网址、电子信箱等在报告期是否变化</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公司注册地址、公司办公地址及其邮政编码、公司网址、电子信箱等在报告期无变化，具体可参见2023年年报。</w:t>
      </w:r>
    </w:p>
    <w:p>
      <w:pPr>
        <w:keepNext/>
        <w:keepLines/>
        <w:spacing w:before="300" w:after="300" w:line="280" w:lineRule="exact"/>
        <w:jc w:val="left"/>
        <w:outlineLvl w:val="2"/>
        <w:rPr>
          <w:rFonts w:ascii="宋体" w:hAnsi="宋体" w:eastAsia="宋体" w:cs="宋体"/>
          <w:b/>
          <w:bCs/>
          <w:sz w:val="21"/>
          <w:szCs w:val="21"/>
        </w:rPr>
      </w:pPr>
      <w:bookmarkStart w:id="6" w:name="_Toc988895"/>
      <w:r>
        <w:rPr>
          <w:rFonts w:ascii="宋体" w:hAnsi="宋体" w:eastAsia="宋体" w:cs="宋体"/>
          <w:b/>
          <w:bCs/>
          <w:sz w:val="21"/>
          <w:szCs w:val="21"/>
        </w:rPr>
        <w:t>2、信息披露及备置地点</w:t>
      </w:r>
      <w:bookmarkEnd w:id="6"/>
    </w:p>
    <w:p>
      <w:pPr>
        <w:spacing w:before="100" w:after="100" w:line="240" w:lineRule="exact"/>
        <w:jc w:val="left"/>
        <w:rPr>
          <w:rFonts w:ascii="宋体" w:hAnsi="宋体" w:eastAsia="宋体" w:cs="宋体"/>
          <w:sz w:val="18"/>
          <w:szCs w:val="18"/>
        </w:rPr>
      </w:pPr>
      <w:r>
        <w:rPr>
          <w:rFonts w:ascii="宋体" w:hAnsi="宋体" w:eastAsia="宋体" w:cs="宋体"/>
          <w:sz w:val="18"/>
          <w:szCs w:val="18"/>
        </w:rPr>
        <w:t>信息披露及备置地点在报告期是否变化</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公司披露半年度报告的证券交易所网站和媒体名称及网址，公司半年度报告备置地在报告期无变化，具体可参见2023年年报。</w:t>
      </w:r>
    </w:p>
    <w:p>
      <w:pPr>
        <w:keepNext/>
        <w:keepLines/>
        <w:spacing w:before="300" w:after="300" w:line="280" w:lineRule="exact"/>
        <w:jc w:val="left"/>
        <w:outlineLvl w:val="2"/>
        <w:rPr>
          <w:rFonts w:ascii="宋体" w:hAnsi="宋体" w:eastAsia="宋体" w:cs="宋体"/>
          <w:b/>
          <w:bCs/>
          <w:sz w:val="21"/>
          <w:szCs w:val="21"/>
        </w:rPr>
      </w:pPr>
      <w:bookmarkStart w:id="7" w:name="_Toc988896"/>
      <w:r>
        <w:rPr>
          <w:rFonts w:ascii="宋体" w:hAnsi="宋体" w:eastAsia="宋体" w:cs="宋体"/>
          <w:b/>
          <w:bCs/>
          <w:sz w:val="21"/>
          <w:szCs w:val="21"/>
        </w:rPr>
        <w:t>3、其他有关资料</w:t>
      </w:r>
      <w:bookmarkEnd w:id="7"/>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其他有关资料在报告期是否变更情况</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8" w:name="_Toc988897"/>
      <w:r>
        <w:rPr>
          <w:rFonts w:ascii="宋体" w:hAnsi="宋体" w:eastAsia="宋体" w:cs="宋体"/>
          <w:b/>
          <w:bCs/>
          <w:sz w:val="24"/>
          <w:szCs w:val="24"/>
        </w:rPr>
        <w:t>四、主要会计数据和财务指标</w:t>
      </w:r>
      <w:bookmarkEnd w:id="8"/>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公司是否需追溯调整或重述以前年度会计数据</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上年同期</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本报告期比上年同期增减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营业收入（元）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6,887,250,278.97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7,634,441,218.79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归属于上市公司股东的净利润（元）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1,094,564,982.49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896,989,620.99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归属于上市公司股东的扣除非经常性损益的净利润（元）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1,031,835,864.85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867,026,566.11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经营活动产生的现金流量净额（元）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2,053,723,020.51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2,041,840,370.05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基本每股收益（元/股）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稀释每股收益（元/股）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加权平均净资产收益率</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本报告期末</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上年度末</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本报告期末比上年度末增减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总资产（元）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79,730,472,286.46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76,751,385,583.28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归属于上市公司股东的净资产（元）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12,941,341,130.60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11,798,504,627.00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9.69%</w:t>
            </w:r>
          </w:p>
        </w:tc>
      </w:tr>
    </w:tbl>
    <w:p>
      <w:pPr>
        <w:keepNext/>
        <w:keepLines/>
        <w:spacing w:before="300" w:after="300" w:line="320" w:lineRule="exact"/>
        <w:jc w:val="left"/>
        <w:outlineLvl w:val="1"/>
        <w:rPr>
          <w:rFonts w:ascii="宋体" w:hAnsi="宋体" w:eastAsia="宋体" w:cs="宋体"/>
          <w:b/>
          <w:bCs/>
          <w:sz w:val="24"/>
          <w:szCs w:val="24"/>
        </w:rPr>
      </w:pPr>
      <w:bookmarkStart w:id="9" w:name="_Toc988898"/>
      <w:r>
        <w:rPr>
          <w:rFonts w:ascii="宋体" w:hAnsi="宋体" w:eastAsia="宋体" w:cs="宋体"/>
          <w:b/>
          <w:bCs/>
          <w:sz w:val="24"/>
          <w:szCs w:val="24"/>
        </w:rPr>
        <w:t>五、境内外会计准则下会计数据差异</w:t>
      </w:r>
      <w:bookmarkEnd w:id="9"/>
    </w:p>
    <w:p>
      <w:pPr>
        <w:keepNext/>
        <w:keepLines/>
        <w:spacing w:before="300" w:after="300" w:line="280" w:lineRule="exact"/>
        <w:jc w:val="left"/>
        <w:outlineLvl w:val="2"/>
        <w:rPr>
          <w:rFonts w:ascii="宋体" w:hAnsi="宋体" w:eastAsia="宋体" w:cs="宋体"/>
          <w:b/>
          <w:bCs/>
          <w:sz w:val="21"/>
          <w:szCs w:val="21"/>
        </w:rPr>
      </w:pPr>
      <w:bookmarkStart w:id="10" w:name="_Toc988899"/>
      <w:r>
        <w:rPr>
          <w:rFonts w:ascii="宋体" w:hAnsi="宋体" w:eastAsia="宋体" w:cs="宋体"/>
          <w:b/>
          <w:bCs/>
          <w:sz w:val="21"/>
          <w:szCs w:val="21"/>
        </w:rPr>
        <w:t>1、同时按照国际会计准则与按照中国会计准则披露的财务报告中净利润和净资产差异情况</w:t>
      </w:r>
      <w:bookmarkEnd w:id="10"/>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公司报告期不存在按照国际会计准则与按照中国会计准则披露的财务报告中净利润和净资产差异情况。</w:t>
      </w:r>
    </w:p>
    <w:p>
      <w:pPr>
        <w:keepNext/>
        <w:keepLines/>
        <w:spacing w:before="300" w:after="300" w:line="280" w:lineRule="exact"/>
        <w:jc w:val="left"/>
        <w:outlineLvl w:val="2"/>
        <w:rPr>
          <w:rFonts w:ascii="宋体" w:hAnsi="宋体" w:eastAsia="宋体" w:cs="宋体"/>
          <w:b/>
          <w:bCs/>
          <w:sz w:val="21"/>
          <w:szCs w:val="21"/>
        </w:rPr>
      </w:pPr>
      <w:bookmarkStart w:id="11" w:name="_Toc988900"/>
      <w:r>
        <w:rPr>
          <w:rFonts w:ascii="宋体" w:hAnsi="宋体" w:eastAsia="宋体" w:cs="宋体"/>
          <w:b/>
          <w:bCs/>
          <w:sz w:val="21"/>
          <w:szCs w:val="21"/>
        </w:rPr>
        <w:t>2、同时按照境外会计准则与按照中国会计准则披露的财务报告中净利润和净资产差异情况</w:t>
      </w:r>
      <w:bookmarkEnd w:id="11"/>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公司报告期不存在按照境外会计准则与按照中国会计准则披露的财务报告中净利润和净资产差异情况。</w:t>
      </w:r>
    </w:p>
    <w:p>
      <w:pPr>
        <w:keepNext/>
        <w:keepLines/>
        <w:spacing w:before="300" w:after="300" w:line="320" w:lineRule="exact"/>
        <w:jc w:val="left"/>
        <w:outlineLvl w:val="1"/>
        <w:rPr>
          <w:rFonts w:ascii="宋体" w:hAnsi="宋体" w:eastAsia="宋体" w:cs="宋体"/>
          <w:b/>
          <w:bCs/>
          <w:sz w:val="24"/>
          <w:szCs w:val="24"/>
        </w:rPr>
      </w:pPr>
      <w:bookmarkStart w:id="12" w:name="_Toc988901"/>
      <w:r>
        <w:rPr>
          <w:rFonts w:ascii="宋体" w:hAnsi="宋体" w:eastAsia="宋体" w:cs="宋体"/>
          <w:b/>
          <w:bCs/>
          <w:sz w:val="24"/>
          <w:szCs w:val="24"/>
        </w:rPr>
        <w:t>六、非经常性损益项目及金额</w:t>
      </w:r>
      <w:bookmarkEnd w:id="12"/>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非流动性资产处置损益（包括已计提资产减值准备的冲销部分）</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1,328,547.14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主要系报告期本公司处置资产影响。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计入当期损益的政府补助（与公司正常经营业务密切相关、符合国家政策规定、按照确定的标准享有、对公司损益产生持续影响的政府补助除外）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3,912,425.15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主要系报告期本公司收到政府补贴、补助影响。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除上述各项之外的其他营业外收入和支出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74,918,716.30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主要系报告期个别风电项目赔偿款影响。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减：所得税影响额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12,644,256.53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少数股东权益影响额（税后）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4,786,314.42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62,729,117.64</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其他符合非经常性损益定义的损益项目的具体情况：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公司不存在其他符合非经常性损益定义的损益项目的具体情况。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将《公开发行证券的公司信息披露解释性公告第1号——非经常性损益》中列举的非经常性损益项目界定为经常性损益项目的情况说明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公司不存在将《公开发行证券的公司信息披露解释性公告第1号——非经常性损益》中列举的非经常性损益项目界定为经常性损益的项目的情形。</w:t>
      </w:r>
    </w:p>
    <w:p>
      <w:r>
        <w:br w:type="page"/>
      </w:r>
    </w:p>
    <w:p>
      <w:pPr>
        <w:keepNext/>
        <w:keepLines/>
        <w:spacing w:before="340" w:after="330" w:line="773" w:lineRule="exact"/>
        <w:jc w:val="center"/>
        <w:outlineLvl w:val="0"/>
        <w:rPr>
          <w:rFonts w:ascii="宋体" w:hAnsi="宋体" w:eastAsia="宋体" w:cs="宋体"/>
          <w:b/>
          <w:bCs/>
          <w:sz w:val="32"/>
          <w:szCs w:val="32"/>
        </w:rPr>
      </w:pPr>
      <w:bookmarkStart w:id="13" w:name="_Toc988902"/>
      <w:r>
        <w:rPr>
          <w:rFonts w:ascii="宋体" w:hAnsi="宋体" w:eastAsia="宋体" w:cs="宋体"/>
          <w:b/>
          <w:bCs/>
          <w:sz w:val="32"/>
          <w:szCs w:val="32"/>
        </w:rPr>
        <w:t>第三节 管理层讨论与分析</w:t>
      </w:r>
      <w:bookmarkEnd w:id="13"/>
    </w:p>
    <w:p>
      <w:pPr>
        <w:keepNext/>
        <w:keepLines/>
        <w:spacing w:before="300" w:after="300" w:line="320" w:lineRule="exact"/>
        <w:jc w:val="left"/>
        <w:outlineLvl w:val="1"/>
        <w:rPr>
          <w:rFonts w:ascii="宋体" w:hAnsi="宋体" w:eastAsia="宋体" w:cs="宋体"/>
          <w:b/>
          <w:bCs/>
          <w:sz w:val="24"/>
          <w:szCs w:val="24"/>
        </w:rPr>
      </w:pPr>
      <w:bookmarkStart w:id="14" w:name="_Toc988903"/>
      <w:r>
        <w:rPr>
          <w:rFonts w:ascii="宋体" w:hAnsi="宋体" w:eastAsia="宋体" w:cs="宋体"/>
          <w:b/>
          <w:bCs/>
          <w:sz w:val="24"/>
          <w:szCs w:val="24"/>
        </w:rPr>
        <w:t>一、报告期内公司从事的主要业务</w:t>
      </w:r>
      <w:bookmarkEnd w:id="14"/>
    </w:p>
    <w:p>
      <w:pPr>
        <w:pStyle w:val="5"/>
        <w:keepNext w:val="0"/>
        <w:keepLines w:val="0"/>
        <w:widowControl/>
        <w:suppressLineNumbers w:val="0"/>
        <w:spacing w:before="0" w:beforeAutospacing="0" w:after="0" w:afterAutospacing="0"/>
        <w:ind w:left="0" w:right="0" w:firstLine="420"/>
        <w:jc w:val="left"/>
        <w:rPr>
          <w:rFonts w:hint="default" w:ascii="Times New Roman" w:hAnsi="Times New Roman" w:cs="Times New Roman"/>
          <w:sz w:val="24"/>
          <w:szCs w:val="24"/>
        </w:rPr>
      </w:pPr>
      <w:r>
        <w:rPr>
          <w:rFonts w:hint="eastAsia" w:ascii="宋体" w:hAnsi="宋体" w:eastAsia="宋体" w:cs="宋体"/>
          <w:sz w:val="21"/>
          <w:szCs w:val="21"/>
        </w:rPr>
        <w:t>1.业务范围：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72" w:afterAutospacing="0" w:line="240" w:lineRule="atLeast"/>
        <w:ind w:left="0" w:right="0" w:firstLine="420"/>
        <w:jc w:val="left"/>
        <w:rPr>
          <w:rFonts w:ascii="Calibri" w:hAnsi="Calibri" w:cs="Calibri"/>
          <w:sz w:val="24"/>
          <w:szCs w:val="24"/>
        </w:rPr>
      </w:pPr>
      <w:r>
        <w:rPr>
          <w:rFonts w:hint="eastAsia" w:ascii="宋体" w:hAnsi="宋体" w:eastAsia="宋体" w:cs="宋体"/>
          <w:i w:val="0"/>
          <w:caps w:val="0"/>
          <w:color w:val="000000"/>
          <w:spacing w:val="0"/>
          <w:sz w:val="21"/>
          <w:szCs w:val="21"/>
        </w:rPr>
        <w:t>发电（风电、太阳能、水电、火电、分布式能源、气电、生物质、核能）、供热（民用、工业）、综合智慧能源供应、清洁能源投资开发、电站检修、科技项目研发、配售电等业务。报告期内，本公司的主营业务未发生重大变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default" w:ascii="Calibri" w:hAnsi="Calibri" w:cs="Calibri"/>
          <w:sz w:val="24"/>
          <w:szCs w:val="24"/>
        </w:rPr>
      </w:pPr>
      <w:r>
        <w:rPr>
          <w:rFonts w:hint="eastAsia" w:ascii="宋体" w:hAnsi="宋体" w:eastAsia="宋体" w:cs="宋体"/>
          <w:i w:val="0"/>
          <w:caps w:val="0"/>
          <w:color w:val="000000"/>
          <w:spacing w:val="0"/>
          <w:sz w:val="21"/>
          <w:szCs w:val="21"/>
        </w:rPr>
        <w:t>2.经营模式：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rPr>
          <w:rFonts w:hint="default" w:ascii="Calibri" w:hAnsi="Calibri" w:cs="Calibri"/>
          <w:sz w:val="24"/>
          <w:szCs w:val="24"/>
        </w:rPr>
      </w:pPr>
      <w:r>
        <w:rPr>
          <w:rFonts w:hint="eastAsia" w:ascii="宋体" w:hAnsi="宋体" w:eastAsia="宋体" w:cs="宋体"/>
          <w:i w:val="0"/>
          <w:caps w:val="0"/>
          <w:color w:val="000000"/>
          <w:spacing w:val="0"/>
          <w:sz w:val="21"/>
          <w:szCs w:val="21"/>
        </w:rPr>
        <w:t>电力销售分为保障性电量、市场化交易电量销售模式。保障性电量由政府能源主管部门下达发电企业年度电量指标，由电网公司负责统购统销。市场化电量由电网公司组织购售双方经电力交易机构平台开展市场化交易并签订购售电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rPr>
          <w:rFonts w:hint="default" w:ascii="Calibri" w:hAnsi="Calibri" w:cs="Calibri"/>
          <w:sz w:val="24"/>
          <w:szCs w:val="24"/>
        </w:rPr>
      </w:pPr>
      <w:r>
        <w:rPr>
          <w:rFonts w:hint="eastAsia" w:ascii="宋体" w:hAnsi="宋体" w:eastAsia="宋体" w:cs="宋体"/>
          <w:i w:val="0"/>
          <w:caps w:val="0"/>
          <w:color w:val="000000"/>
          <w:spacing w:val="0"/>
          <w:sz w:val="21"/>
          <w:szCs w:val="21"/>
        </w:rPr>
        <w:t>热力销售分为民用供热和工业供热销售。民用供热由发电公司与热力公司按照供需签订供热合同。工业供热由发电公司与工业蒸汽用户签订供热合同，依据供热合同组织生产供给，根据供热量与热力公司、工业蒸汽用户结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10"/>
        <w:jc w:val="left"/>
        <w:rPr>
          <w:rFonts w:hint="default" w:ascii="Calibri" w:hAnsi="Calibri" w:cs="Calibri"/>
          <w:sz w:val="24"/>
          <w:szCs w:val="24"/>
        </w:rPr>
      </w:pPr>
      <w:r>
        <w:rPr>
          <w:rFonts w:hint="eastAsia" w:ascii="宋体" w:hAnsi="宋体" w:eastAsia="宋体" w:cs="宋体"/>
          <w:i w:val="0"/>
          <w:caps w:val="0"/>
          <w:color w:val="000000"/>
          <w:spacing w:val="0"/>
          <w:sz w:val="21"/>
          <w:szCs w:val="21"/>
        </w:rPr>
        <w:t>（2）采购模式：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default" w:ascii="Calibri" w:hAnsi="Calibri" w:cs="Calibri"/>
          <w:sz w:val="24"/>
          <w:szCs w:val="24"/>
        </w:rPr>
      </w:pPr>
      <w:r>
        <w:rPr>
          <w:rFonts w:hint="eastAsia" w:ascii="宋体" w:hAnsi="宋体" w:eastAsia="宋体" w:cs="宋体"/>
          <w:i w:val="0"/>
          <w:caps w:val="0"/>
          <w:color w:val="000000"/>
          <w:spacing w:val="0"/>
          <w:sz w:val="21"/>
          <w:szCs w:val="21"/>
        </w:rPr>
        <w:t>物资采购：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default" w:ascii="Calibri" w:hAnsi="Calibri" w:cs="Calibri"/>
          <w:sz w:val="24"/>
          <w:szCs w:val="24"/>
        </w:rPr>
      </w:pPr>
      <w:r>
        <w:rPr>
          <w:rFonts w:hint="eastAsia" w:ascii="宋体" w:hAnsi="宋体" w:eastAsia="宋体" w:cs="宋体"/>
          <w:i w:val="0"/>
          <w:caps w:val="0"/>
          <w:color w:val="000000"/>
          <w:spacing w:val="0"/>
          <w:sz w:val="21"/>
          <w:szCs w:val="21"/>
        </w:rPr>
        <w:t>以公开招标为主要采购方式，限额50万元以上的生产、基建物资、工程、服务采购项目采取年度集中招标、分批实施配送的方式采购；限额50万元以下的采购项目依托中国电力设备信息网平台发布采购信息，采取公开竞价、询价方式采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default" w:ascii="Calibri" w:hAnsi="Calibri" w:cs="Calibri"/>
          <w:sz w:val="24"/>
          <w:szCs w:val="24"/>
        </w:rPr>
      </w:pPr>
      <w:r>
        <w:rPr>
          <w:rFonts w:hint="eastAsia" w:ascii="宋体" w:hAnsi="宋体" w:eastAsia="宋体" w:cs="宋体"/>
          <w:i w:val="0"/>
          <w:caps w:val="0"/>
          <w:color w:val="000000"/>
          <w:spacing w:val="0"/>
          <w:sz w:val="21"/>
          <w:szCs w:val="21"/>
        </w:rPr>
        <w:t>煤炭采购：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default" w:ascii="Calibri" w:hAnsi="Calibri" w:cs="Calibri"/>
          <w:sz w:val="24"/>
          <w:szCs w:val="24"/>
        </w:rPr>
      </w:pPr>
      <w:r>
        <w:rPr>
          <w:rFonts w:hint="eastAsia" w:ascii="宋体" w:hAnsi="宋体" w:eastAsia="宋体" w:cs="宋体"/>
          <w:i w:val="0"/>
          <w:caps w:val="0"/>
          <w:color w:val="000000"/>
          <w:spacing w:val="0"/>
          <w:sz w:val="21"/>
          <w:szCs w:val="21"/>
        </w:rPr>
        <w:t>根据本公司年度煤炭耗用计划，制定年度煤炭订货方案，确定重点煤炭供应商和供应量，以国有大型煤企年度中长协合同为主，同时报国家铁路集团公司做重点运力计划备案。通过在全部合格供应商中开展线上竞价采购及询价采购、比价采购为辅等方式采购煤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10"/>
        <w:jc w:val="left"/>
        <w:rPr>
          <w:rFonts w:hint="default" w:ascii="Calibri" w:hAnsi="Calibri" w:cs="Calibri"/>
          <w:sz w:val="24"/>
          <w:szCs w:val="24"/>
        </w:rPr>
      </w:pPr>
      <w:r>
        <w:rPr>
          <w:rFonts w:hint="eastAsia" w:ascii="宋体" w:hAnsi="宋体" w:eastAsia="宋体" w:cs="宋体"/>
          <w:i w:val="0"/>
          <w:caps w:val="0"/>
          <w:color w:val="000000"/>
          <w:spacing w:val="0"/>
          <w:sz w:val="21"/>
          <w:szCs w:val="21"/>
        </w:rPr>
        <w:t>（3）生产模式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default" w:ascii="Calibri" w:hAnsi="Calibri" w:cs="Calibri"/>
          <w:sz w:val="24"/>
          <w:szCs w:val="24"/>
        </w:rPr>
      </w:pPr>
      <w:r>
        <w:rPr>
          <w:rFonts w:hint="eastAsia" w:ascii="宋体" w:hAnsi="宋体" w:eastAsia="宋体" w:cs="宋体"/>
          <w:i w:val="0"/>
          <w:caps w:val="0"/>
          <w:color w:val="000000"/>
          <w:spacing w:val="0"/>
          <w:sz w:val="21"/>
          <w:szCs w:val="21"/>
        </w:rPr>
        <w:t>电力生产：本公司电力生产以风电、太阳能、火电为主，按电网公司统调、市场化交易的上网电量计划组织生产发电。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default" w:ascii="Calibri" w:hAnsi="Calibri" w:cs="Calibri"/>
          <w:sz w:val="24"/>
          <w:szCs w:val="24"/>
        </w:rPr>
      </w:pPr>
      <w:r>
        <w:rPr>
          <w:rFonts w:hint="eastAsia" w:ascii="宋体" w:hAnsi="宋体" w:eastAsia="宋体" w:cs="宋体"/>
          <w:i w:val="0"/>
          <w:caps w:val="0"/>
          <w:color w:val="000000"/>
          <w:spacing w:val="0"/>
          <w:sz w:val="21"/>
          <w:szCs w:val="21"/>
        </w:rPr>
        <w:t>热力生产：本公司热力产品（包括民用和工业供热）的生产，根据与热力公司或工业蒸汽客户签订的供热、供蒸汽合同约定的供热量、工业蒸汽量组织供应。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firstLine="420"/>
        <w:jc w:val="left"/>
        <w:rPr>
          <w:rFonts w:hint="default" w:ascii="Calibri" w:hAnsi="Calibri" w:cs="Calibri"/>
          <w:sz w:val="24"/>
          <w:szCs w:val="24"/>
        </w:rPr>
      </w:pPr>
      <w:r>
        <w:rPr>
          <w:rFonts w:hint="eastAsia" w:ascii="宋体" w:hAnsi="宋体" w:eastAsia="宋体" w:cs="宋体"/>
          <w:i w:val="0"/>
          <w:caps w:val="0"/>
          <w:color w:val="000000"/>
          <w:spacing w:val="0"/>
          <w:sz w:val="21"/>
          <w:szCs w:val="21"/>
        </w:rPr>
        <w:t>3.主要业绩驱动因素：本公司业绩主要来源于电力、供热业务，利润构成主要源于发电量、供热量的利润收入及其他管理成本的控制。</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公司需遵守《深圳证券交易所上市公司自律监管指引第3号——行业信息披露》中的“电力供应业”的披露要求</w:t>
      </w:r>
    </w:p>
    <w:p>
      <w:pPr>
        <w:keepNext/>
        <w:keepLines/>
        <w:spacing w:before="300" w:after="300" w:line="320" w:lineRule="exact"/>
        <w:jc w:val="left"/>
        <w:outlineLvl w:val="1"/>
        <w:rPr>
          <w:rFonts w:ascii="宋体" w:hAnsi="宋体" w:eastAsia="宋体" w:cs="宋体"/>
          <w:b/>
          <w:bCs/>
          <w:sz w:val="24"/>
          <w:szCs w:val="24"/>
        </w:rPr>
      </w:pPr>
      <w:bookmarkStart w:id="15" w:name="_Toc988904"/>
      <w:r>
        <w:rPr>
          <w:rFonts w:ascii="宋体" w:hAnsi="宋体" w:eastAsia="宋体" w:cs="宋体"/>
          <w:b/>
          <w:bCs/>
          <w:sz w:val="24"/>
          <w:szCs w:val="24"/>
        </w:rPr>
        <w:t>二、核心竞争力分析</w:t>
      </w:r>
      <w:bookmarkEnd w:id="15"/>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ascii="Calibri" w:hAnsi="Calibri" w:cs="Calibri"/>
          <w:sz w:val="24"/>
          <w:szCs w:val="24"/>
        </w:rPr>
      </w:pPr>
      <w:r>
        <w:rPr>
          <w:rFonts w:hint="eastAsia" w:ascii="宋体" w:hAnsi="宋体" w:eastAsia="宋体" w:cs="宋体"/>
          <w:i w:val="0"/>
          <w:caps w:val="0"/>
          <w:color w:val="000000"/>
          <w:spacing w:val="0"/>
          <w:sz w:val="21"/>
          <w:szCs w:val="21"/>
        </w:rPr>
        <w:t>公司积极主动践行习近平生态文明思想和绿色发展理念，落实“四个革命、一个合作”能源安全新战略和高质量发展要求，以建设世界一流清洁能源企业（上市公司）为战略目标，聚焦“新能源+”、绿色氢基能源双赛道，全面提升“投资、开发、建设、技术、创新、运营”六大核心能力，一是开发新能源大基地，加快形成新质生产力，二是争做绿色氢基能源产业领跑者，打造一流新能源产业和一流绿色氢基能源产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default" w:ascii="Calibri" w:hAnsi="Calibri" w:cs="Calibri"/>
          <w:sz w:val="24"/>
          <w:szCs w:val="24"/>
        </w:rPr>
      </w:pPr>
      <w:r>
        <w:rPr>
          <w:rFonts w:hint="eastAsia" w:ascii="宋体" w:hAnsi="宋体" w:eastAsia="宋体" w:cs="宋体"/>
          <w:i w:val="0"/>
          <w:caps w:val="0"/>
          <w:color w:val="000000"/>
          <w:spacing w:val="0"/>
          <w:sz w:val="21"/>
          <w:szCs w:val="21"/>
        </w:rPr>
        <w:t>产业优势：截止目前，公司清洁能源装机占总装机比重75.86%，清洁能源利润实现8.18亿元，支撑公司盈利能力和高质量发展能力。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default" w:ascii="Calibri" w:hAnsi="Calibri" w:cs="Calibri"/>
          <w:sz w:val="24"/>
          <w:szCs w:val="24"/>
        </w:rPr>
      </w:pPr>
      <w:r>
        <w:rPr>
          <w:rFonts w:hint="eastAsia" w:ascii="宋体" w:hAnsi="宋体" w:eastAsia="宋体" w:cs="宋体"/>
          <w:i w:val="0"/>
          <w:caps w:val="0"/>
          <w:color w:val="000000"/>
          <w:spacing w:val="0"/>
          <w:sz w:val="21"/>
          <w:szCs w:val="21"/>
        </w:rPr>
        <w:t>布局优势：在全国范围，公司已建立五个新能源平台公司和三个新能源生产运营中心，具有较强的跨区域发展和集约化管理能力，全国化发展优势明显。公司带头推动吉林省绿色氢基能源产业发展，从产业规划、资源整合、科技创新、项目落地等方面，成为领军绿色氢基能源产业发展的核心力量。在全国积极布局清洁能源产业，开发大安绿氢基地、山东潍坊多能互补基地等规模化清洁能源基地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default" w:ascii="Calibri" w:hAnsi="Calibri" w:cs="Calibri"/>
          <w:sz w:val="24"/>
          <w:szCs w:val="24"/>
        </w:rPr>
      </w:pPr>
      <w:r>
        <w:rPr>
          <w:rFonts w:hint="eastAsia" w:ascii="宋体" w:hAnsi="宋体" w:eastAsia="宋体" w:cs="宋体"/>
          <w:i w:val="0"/>
          <w:caps w:val="0"/>
          <w:color w:val="000000"/>
          <w:spacing w:val="0"/>
          <w:sz w:val="21"/>
          <w:szCs w:val="21"/>
        </w:rPr>
        <w:t>品牌优势：公司始终坚持严格落实国家和各级政府要求，履行央企责任，坚持绿色低碳发展，致力于提供绿色能源供应，为所在区域发展清洁能源、优化能源产业结构贡献力量。</w:t>
      </w:r>
    </w:p>
    <w:p>
      <w:pPr>
        <w:keepNext/>
        <w:keepLines/>
        <w:spacing w:before="300" w:after="300" w:line="320" w:lineRule="exact"/>
        <w:jc w:val="left"/>
        <w:outlineLvl w:val="1"/>
        <w:rPr>
          <w:rFonts w:ascii="宋体" w:hAnsi="宋体" w:eastAsia="宋体" w:cs="宋体"/>
          <w:b/>
          <w:bCs/>
          <w:sz w:val="24"/>
          <w:szCs w:val="24"/>
        </w:rPr>
      </w:pPr>
      <w:bookmarkStart w:id="16" w:name="_Toc988905"/>
      <w:r>
        <w:rPr>
          <w:rFonts w:ascii="宋体" w:hAnsi="宋体" w:eastAsia="宋体" w:cs="宋体"/>
          <w:b/>
          <w:bCs/>
          <w:sz w:val="24"/>
          <w:szCs w:val="24"/>
        </w:rPr>
        <w:t>三、主营业务分析</w:t>
      </w:r>
      <w:bookmarkEnd w:id="16"/>
    </w:p>
    <w:p>
      <w:pPr>
        <w:spacing w:before="100" w:after="100" w:line="240" w:lineRule="exact"/>
        <w:jc w:val="left"/>
        <w:rPr>
          <w:rFonts w:ascii="宋体" w:hAnsi="宋体" w:eastAsia="宋体" w:cs="宋体"/>
          <w:sz w:val="18"/>
          <w:szCs w:val="18"/>
        </w:rPr>
      </w:pPr>
      <w:r>
        <w:rPr>
          <w:rFonts w:ascii="宋体" w:hAnsi="宋体" w:eastAsia="宋体" w:cs="宋体"/>
          <w:sz w:val="18"/>
          <w:szCs w:val="18"/>
        </w:rPr>
        <w:t>概述</w:t>
      </w:r>
    </w:p>
    <w:p>
      <w:pPr>
        <w:pStyle w:val="5"/>
        <w:keepNext w:val="0"/>
        <w:keepLines w:val="0"/>
        <w:widowControl/>
        <w:suppressLineNumbers w:val="0"/>
        <w:spacing w:before="0" w:beforeAutospacing="0" w:after="0" w:afterAutospacing="0"/>
        <w:ind w:left="0" w:right="0" w:firstLine="420"/>
        <w:jc w:val="left"/>
        <w:rPr>
          <w:rFonts w:hint="default" w:ascii="Times New Roman" w:hAnsi="Times New Roman" w:cs="Times New Roman"/>
          <w:sz w:val="24"/>
          <w:szCs w:val="24"/>
        </w:rPr>
      </w:pPr>
      <w:r>
        <w:rPr>
          <w:rFonts w:hint="eastAsia" w:ascii="宋体" w:hAnsi="宋体" w:eastAsia="宋体" w:cs="宋体"/>
          <w:color w:val="000000"/>
          <w:sz w:val="21"/>
          <w:szCs w:val="21"/>
        </w:rPr>
        <w:t>2024年上半年，在全体股东的大力支持下，公司董事会规范运作，突出高质量发展，聚焦“新能源+”、绿色氢基能源双赛道，强化提质增效，取得了较好的经营业绩。</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  公司围绕年度总体经营目标，全力提升盈利水平。上半年发挥产业结构优势，通过管理提升和科技创效，落实优化电量结构、增加辅助服务收益、开展债务优化等措施，实现归属于上市公司股东的净利润10.95亿元。</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主要财务数据同比变动情况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上年同期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同比增减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变动原因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营业收入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6,887,250,278.97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7,634,441,218.79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营业成本</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4,559,749,609.24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5,370,808,790.63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管理费用</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65,445,441.25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64,587,146.96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财务费用</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723,283,332.05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773,221,844.16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所得税费用</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204,067,111.16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199,219,676.63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研发投入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29,289,381.23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14,766,666.29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98.35%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主要系研发投入增加影响。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经营活动产生的现金流量净额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2,053,723,020.51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2,041,840,370.05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0.58%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投资活动产生的现金流量净额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-2,875,217,560.48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-2,106,652,887.52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36.48%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主要系报告期现金投资的固定资产增加影响。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筹资活动产生的现金流量净额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1,133,012,461.98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339,547,181.69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233.68%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主要系报告期偿还债务同比减少影响。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现金及现金等价物净增加额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311,517,922.01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274,734,664.22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公司报告期利润构成或利润来源发生重大变动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公司报告期利润构成或利润来源没有发生重大变动。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营业收入构成</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321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w:t>
            </w:r>
          </w:p>
        </w:tc>
        <w:tc>
          <w:tcPr>
            <w:tcW w:w="321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上年同期</w:t>
            </w:r>
          </w:p>
        </w:tc>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同比增减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占营业收入比重</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占营业收入比重</w:t>
            </w:r>
          </w:p>
        </w:tc>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营业收入合计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6,887,250,278.97</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right"/>
              <w:rPr>
                <w:rFonts w:ascii="宋体" w:hAnsi="宋体" w:eastAsia="宋体" w:cs="宋体"/>
                <w:sz w:val="18"/>
                <w:szCs w:val="18"/>
                <w:shd w:val="clear" w:color="auto" w:fill="D3D3D3"/>
              </w:rPr>
            </w:pPr>
            <w:r>
              <w:rPr>
                <w:rFonts w:ascii="宋体" w:hAnsi="宋体" w:eastAsia="宋体" w:cs="宋体"/>
                <w:sz w:val="18"/>
                <w:szCs w:val="18"/>
                <w:shd w:val="clear" w:color="auto" w:fill="D3D3D3"/>
              </w:rPr>
              <w:t>100%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7,634,441,218.79</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right"/>
              <w:rPr>
                <w:rFonts w:ascii="宋体" w:hAnsi="宋体" w:eastAsia="宋体" w:cs="宋体"/>
                <w:sz w:val="18"/>
                <w:szCs w:val="18"/>
                <w:shd w:val="clear" w:color="auto" w:fill="D3D3D3"/>
              </w:rPr>
            </w:pPr>
            <w:r>
              <w:rPr>
                <w:rFonts w:ascii="宋体" w:hAnsi="宋体" w:eastAsia="宋体" w:cs="宋体"/>
                <w:sz w:val="18"/>
                <w:szCs w:val="18"/>
                <w:shd w:val="clear" w:color="auto" w:fill="D3D3D3"/>
              </w:rPr>
              <w:t>100%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6"/>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分行业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电力</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5,999,058,231.94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87.10%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6,099,818,744.45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79.90%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热力</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731,108,770.72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570,858,179.83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157,083,276.31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963,764,294.51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6"/>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分产品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煤电产品</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2,290,254,658.32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33.25%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2,467,315,029.39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32.32%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风电产品</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1,688,385,747.09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24.51%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1,634,613,373.24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21.41%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太阳能产品</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2,020,417,826.53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29.34%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1,997,890,341.82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26.17%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热力产品</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731,108,770.72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570,858,179.83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157,083,276.31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963,764,294.51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6"/>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分地区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东北地区</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4,007,039,158.31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58.18%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4,743,436,561.78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62.13%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华东地区</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1,275,956,897.67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18.53%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1,255,545,360.92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西北地区</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616,098,837.73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659,063,807.94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华北地区</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511,480,141.97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519,063,699.38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华南地区</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221,080,975.92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197,168,829.72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华中地区</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116,558,629.57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132,034,701.18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西南地区</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139,035,637.80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128,128,257.87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8.51%</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占公司营业收入或营业利润10%以上的行业、产品或地区情况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营业收入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营业成本</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毛利率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营业收入比上年同期增减</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营业成本比上年同期增减</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毛利率比上年同期增减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9" w:type="dxa"/>
            <w:gridSpan w:val="7"/>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分行业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电力</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5,999,058,231.94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3,525,866,673.69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41.23%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热力</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731,108,770.72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893,729,546.47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-22.24%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28.07%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157,083,276.31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140,153,389.08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-83.70%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-85.11%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9" w:type="dxa"/>
            <w:gridSpan w:val="7"/>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分产品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煤电产品</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2,290,254,658.32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1,652,149,880.64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27.86%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风电产品</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1,688,385,747.09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764,251,997.01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54.73%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太阳能产品</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2,020,417,826.53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1,109,464,796.04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45.09%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热力产品</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731,108,770.72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893,729,546.47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-22.24%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28.07%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157,083,276.31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140,153,389.08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-83.70%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-85.11%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9" w:type="dxa"/>
            <w:gridSpan w:val="7"/>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分地区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东北地区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4,007,039,158.31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3,107,238,769.52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22.46%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-15.52%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-21.61%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华东地区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1,275,956,897.67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661,008,177.71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48.20%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西北地区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616,098,837.73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334,006,307.21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45.79%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华北地区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511,480,141.97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230,844,185.56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54.87%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华南地区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221,080,975.92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127,403,103.98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42.37%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45.55%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华中地区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116,558,629.57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56,889,268.26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51.19%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西南地区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139,035,637.80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42,359,797.00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69.53%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0.41%</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公司主营业务数据统计口径在报告期发生调整的情况下，公司最近1期按报告期末口径调整后的主营业务数据</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17" w:name="_Toc988906"/>
      <w:r>
        <w:rPr>
          <w:rFonts w:ascii="宋体" w:hAnsi="宋体" w:eastAsia="宋体" w:cs="宋体"/>
          <w:b/>
          <w:bCs/>
          <w:sz w:val="24"/>
          <w:szCs w:val="24"/>
        </w:rPr>
        <w:t>四、非主营业务分析</w:t>
      </w:r>
      <w:bookmarkEnd w:id="17"/>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占利润总额比例</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形成原因说明</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是否具有可持续性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投资收益</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56,584,591.92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主要系报告期参股企业广西国电投海外能源投资有限公司权益法核算确认投资收益影响。</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营业外收入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75,901,628.53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主要系报告期个别风电项目赔偿款影响。</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营业外支出</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982,912.23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主要系报告期滞纳金影响。</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bl>
    <w:p>
      <w:pPr>
        <w:keepNext/>
        <w:keepLines/>
        <w:spacing w:before="300" w:after="300" w:line="320" w:lineRule="exact"/>
        <w:jc w:val="left"/>
        <w:outlineLvl w:val="1"/>
        <w:rPr>
          <w:rFonts w:ascii="宋体" w:hAnsi="宋体" w:eastAsia="宋体" w:cs="宋体"/>
          <w:b/>
          <w:bCs/>
          <w:sz w:val="24"/>
          <w:szCs w:val="24"/>
        </w:rPr>
      </w:pPr>
      <w:bookmarkStart w:id="18" w:name="_Toc988907"/>
      <w:r>
        <w:rPr>
          <w:rFonts w:ascii="宋体" w:hAnsi="宋体" w:eastAsia="宋体" w:cs="宋体"/>
          <w:b/>
          <w:bCs/>
          <w:sz w:val="24"/>
          <w:szCs w:val="24"/>
        </w:rPr>
        <w:t>五、资产及负债状况分析</w:t>
      </w:r>
      <w:bookmarkEnd w:id="18"/>
    </w:p>
    <w:p>
      <w:pPr>
        <w:keepNext/>
        <w:keepLines/>
        <w:spacing w:before="300" w:after="300" w:line="280" w:lineRule="exact"/>
        <w:jc w:val="left"/>
        <w:outlineLvl w:val="2"/>
        <w:rPr>
          <w:rFonts w:ascii="宋体" w:hAnsi="宋体" w:eastAsia="宋体" w:cs="宋体"/>
          <w:b/>
          <w:bCs/>
          <w:sz w:val="21"/>
          <w:szCs w:val="21"/>
        </w:rPr>
      </w:pPr>
      <w:bookmarkStart w:id="19" w:name="_Toc988908"/>
      <w:r>
        <w:rPr>
          <w:rFonts w:ascii="宋体" w:hAnsi="宋体" w:eastAsia="宋体" w:cs="宋体"/>
          <w:b/>
          <w:bCs/>
          <w:sz w:val="21"/>
          <w:szCs w:val="21"/>
        </w:rPr>
        <w:t>1、资产构成重大变动情况</w:t>
      </w:r>
      <w:bookmarkEnd w:id="1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本报告期末</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上年末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比重增减</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重大变动说明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占总资产比例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占总资产比例</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货币资金</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1,399,583,690.67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1,099,505,306.89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10,043,689,634.79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8,410,067,658.38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存货</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282,929,531.71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141,150,921.85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0.18%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0.17%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长期股权投资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1,254,992,879.27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1,185,083,287.35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固定资产</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51,626,667,880.86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64.75%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51,760,401,506.12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67.44%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在建工程</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6,598,388,615.01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5,992,940,288.83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0.47%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使用权资产</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1,500,472,128.46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1,458,156,827.63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短期借款</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5,889,774,885.02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6,373,744,656.75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-0.91%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合同负债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42,676,841.82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390,395,891.87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0.51%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-0.46%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长期借款</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36,354,754,159.63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45.60%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32,966,891,576.41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42.95%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租赁负债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987,622,214.16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969,372,890.45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bl>
    <w:p>
      <w:pPr>
        <w:keepNext/>
        <w:keepLines/>
        <w:spacing w:before="300" w:after="300" w:line="280" w:lineRule="exact"/>
        <w:jc w:val="left"/>
        <w:outlineLvl w:val="2"/>
        <w:rPr>
          <w:rFonts w:ascii="宋体" w:hAnsi="宋体" w:eastAsia="宋体" w:cs="宋体"/>
          <w:b/>
          <w:bCs/>
          <w:sz w:val="21"/>
          <w:szCs w:val="21"/>
        </w:rPr>
      </w:pPr>
      <w:bookmarkStart w:id="20" w:name="_Toc988909"/>
      <w:r>
        <w:rPr>
          <w:rFonts w:ascii="宋体" w:hAnsi="宋体" w:eastAsia="宋体" w:cs="宋体"/>
          <w:b/>
          <w:bCs/>
          <w:sz w:val="21"/>
          <w:szCs w:val="21"/>
        </w:rPr>
        <w:t>2、主要境外资产情况</w:t>
      </w:r>
      <w:bookmarkEnd w:id="20"/>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21" w:name="_Toc988910"/>
      <w:r>
        <w:rPr>
          <w:rFonts w:ascii="宋体" w:hAnsi="宋体" w:eastAsia="宋体" w:cs="宋体"/>
          <w:b/>
          <w:bCs/>
          <w:sz w:val="21"/>
          <w:szCs w:val="21"/>
        </w:rPr>
        <w:t>3、以公允价值计量的资产和负债</w:t>
      </w:r>
      <w:bookmarkEnd w:id="21"/>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期初数</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本期公允价值变动损益</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计入权益的累计公允价值变动</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本期计提的减值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本期购买金额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本期出售金额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其他变动</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金融资产</w:t>
            </w:r>
          </w:p>
        </w:tc>
        <w:tc>
          <w:tcPr>
            <w:tcW w:w="8568" w:type="dxa"/>
            <w:gridSpan w:val="8"/>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1.交易性金融资产（不含衍生金融资产）</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4.其他权益工具投资</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334,535,783.49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334,535,783.49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金融资产小计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335,535,783.49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335,535,783.49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上述合计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335,535,783.49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335,535,783.49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金融负债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其他变动的内容</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报告期内公司主要资产计量属性是否发生重大变化</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pPr>
        <w:keepNext/>
        <w:keepLines/>
        <w:spacing w:before="300" w:after="300" w:line="280" w:lineRule="exact"/>
        <w:jc w:val="left"/>
        <w:outlineLvl w:val="2"/>
        <w:rPr>
          <w:rFonts w:ascii="宋体" w:hAnsi="宋体" w:eastAsia="宋体" w:cs="宋体"/>
          <w:b/>
          <w:bCs/>
          <w:sz w:val="21"/>
          <w:szCs w:val="21"/>
        </w:rPr>
      </w:pPr>
      <w:bookmarkStart w:id="22" w:name="_Toc988911"/>
      <w:r>
        <w:rPr>
          <w:rFonts w:ascii="宋体" w:hAnsi="宋体" w:eastAsia="宋体" w:cs="宋体"/>
          <w:b/>
          <w:bCs/>
          <w:sz w:val="21"/>
          <w:szCs w:val="21"/>
        </w:rPr>
        <w:t>4、截至报告期末的资产权利受限情况</w:t>
      </w:r>
      <w:bookmarkEnd w:id="22"/>
    </w:p>
    <w:p>
      <w:pPr>
        <w:pStyle w:val="5"/>
        <w:keepNext w:val="0"/>
        <w:keepLines w:val="0"/>
        <w:widowControl/>
        <w:suppressLineNumbers w:val="0"/>
      </w:pPr>
      <w:r>
        <w:rPr>
          <w:rFonts w:hint="eastAsia" w:ascii="宋体" w:hAnsi="宋体" w:eastAsia="宋体" w:cs="宋体"/>
          <w:sz w:val="18"/>
          <w:szCs w:val="18"/>
        </w:rPr>
        <w:t>详见第十节财务报告第七、合并财务报表项目注释31.所有权或使用权受到限制的资产。</w:t>
      </w:r>
    </w:p>
    <w:p>
      <w:pPr>
        <w:keepNext/>
        <w:keepLines/>
        <w:spacing w:before="300" w:after="300" w:line="320" w:lineRule="exact"/>
        <w:jc w:val="left"/>
        <w:outlineLvl w:val="1"/>
        <w:rPr>
          <w:rFonts w:ascii="宋体" w:hAnsi="宋体" w:eastAsia="宋体" w:cs="宋体"/>
          <w:b/>
          <w:bCs/>
          <w:sz w:val="24"/>
          <w:szCs w:val="24"/>
        </w:rPr>
      </w:pPr>
      <w:bookmarkStart w:id="23" w:name="_Toc988912"/>
      <w:r>
        <w:rPr>
          <w:rFonts w:ascii="宋体" w:hAnsi="宋体" w:eastAsia="宋体" w:cs="宋体"/>
          <w:b/>
          <w:bCs/>
          <w:sz w:val="24"/>
          <w:szCs w:val="24"/>
        </w:rPr>
        <w:t>六、投资状况分析</w:t>
      </w:r>
      <w:bookmarkEnd w:id="23"/>
    </w:p>
    <w:p>
      <w:pPr>
        <w:keepNext/>
        <w:keepLines/>
        <w:spacing w:before="300" w:after="300" w:line="280" w:lineRule="exact"/>
        <w:jc w:val="left"/>
        <w:outlineLvl w:val="2"/>
        <w:rPr>
          <w:rFonts w:ascii="宋体" w:hAnsi="宋体" w:eastAsia="宋体" w:cs="宋体"/>
          <w:b/>
          <w:bCs/>
          <w:sz w:val="21"/>
          <w:szCs w:val="21"/>
        </w:rPr>
      </w:pPr>
      <w:bookmarkStart w:id="24" w:name="_Toc988913"/>
      <w:r>
        <w:rPr>
          <w:rFonts w:ascii="宋体" w:hAnsi="宋体" w:eastAsia="宋体" w:cs="宋体"/>
          <w:b/>
          <w:bCs/>
          <w:sz w:val="21"/>
          <w:szCs w:val="21"/>
        </w:rPr>
        <w:t>1、总体情况</w:t>
      </w:r>
      <w:bookmarkEnd w:id="24"/>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报告期投资额（元）</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上年同期投资额（元）</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变动幅度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1,338,627,484.71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1,774,387,481.01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-24.56%</w:t>
            </w:r>
          </w:p>
        </w:tc>
      </w:tr>
    </w:tbl>
    <w:p>
      <w:pPr>
        <w:keepNext/>
        <w:keepLines/>
        <w:spacing w:before="300" w:after="300" w:line="280" w:lineRule="exact"/>
        <w:jc w:val="left"/>
        <w:outlineLvl w:val="2"/>
        <w:rPr>
          <w:rFonts w:ascii="宋体" w:hAnsi="宋体" w:eastAsia="宋体" w:cs="宋体"/>
          <w:b/>
          <w:bCs/>
          <w:sz w:val="21"/>
          <w:szCs w:val="21"/>
        </w:rPr>
      </w:pPr>
      <w:bookmarkStart w:id="25" w:name="_Toc988914"/>
      <w:r>
        <w:rPr>
          <w:rFonts w:ascii="宋体" w:hAnsi="宋体" w:eastAsia="宋体" w:cs="宋体"/>
          <w:b/>
          <w:bCs/>
          <w:sz w:val="21"/>
          <w:szCs w:val="21"/>
        </w:rPr>
        <w:t>2、报告期内获取的重大的股权投资情况</w:t>
      </w:r>
      <w:bookmarkEnd w:id="25"/>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3"/>
        <w:gridCol w:w="643"/>
        <w:gridCol w:w="643"/>
        <w:gridCol w:w="643"/>
        <w:gridCol w:w="643"/>
        <w:gridCol w:w="643"/>
        <w:gridCol w:w="643"/>
        <w:gridCol w:w="643"/>
        <w:gridCol w:w="643"/>
        <w:gridCol w:w="643"/>
        <w:gridCol w:w="643"/>
        <w:gridCol w:w="643"/>
        <w:gridCol w:w="643"/>
        <w:gridCol w:w="643"/>
        <w:gridCol w:w="64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被投资公司名称</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主要业务</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投资方式</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投资金额</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持股比例</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资金来源</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合作方</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投资期限</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产品类型</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截至资产负债表日的进展情况</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预计收益</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本期投资盈亏</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是否涉诉</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披露日期（如有）</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披露索引（如有）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上海吉远绿色能源有限公司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绿色甲醇业务投资</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新设</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5,500,000.00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自有</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长期</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绿色甲醇业务投资</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前期</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2023年12月30日</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巨潮资讯网（www.cninfo.com.cn）（公告编号：2023-092）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5,500,000.00</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r>
    </w:tbl>
    <w:p>
      <w:pPr>
        <w:keepNext/>
        <w:keepLines/>
        <w:spacing w:before="300" w:after="300" w:line="280" w:lineRule="exact"/>
        <w:jc w:val="left"/>
        <w:outlineLvl w:val="2"/>
        <w:rPr>
          <w:rFonts w:ascii="宋体" w:hAnsi="宋体" w:eastAsia="宋体" w:cs="宋体"/>
          <w:b/>
          <w:bCs/>
          <w:sz w:val="21"/>
          <w:szCs w:val="21"/>
        </w:rPr>
      </w:pPr>
      <w:bookmarkStart w:id="26" w:name="_Toc988915"/>
      <w:r>
        <w:rPr>
          <w:rFonts w:ascii="宋体" w:hAnsi="宋体" w:eastAsia="宋体" w:cs="宋体"/>
          <w:b/>
          <w:bCs/>
          <w:sz w:val="21"/>
          <w:szCs w:val="21"/>
        </w:rPr>
        <w:t>3、报告期内正在进行的重大的非股权投资情况</w:t>
      </w:r>
      <w:bookmarkEnd w:id="26"/>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1"/>
        <w:gridCol w:w="741"/>
        <w:gridCol w:w="741"/>
        <w:gridCol w:w="741"/>
        <w:gridCol w:w="741"/>
        <w:gridCol w:w="741"/>
        <w:gridCol w:w="741"/>
        <w:gridCol w:w="741"/>
        <w:gridCol w:w="741"/>
        <w:gridCol w:w="741"/>
        <w:gridCol w:w="741"/>
        <w:gridCol w:w="741"/>
        <w:gridCol w:w="7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项目名称</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投资方式</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是否为固定资产投资</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投资项目涉及行业</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本报告期投入金额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截至报告期末累计实际投入金额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资金来源</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项目进度</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预计收益</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截止报告期末累计实现的收益</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未达到计划进度和预计收益的原因</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披露日期（如有）</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披露索引（如有）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山东潍坊风光储多能互补试点项目首批第一期</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自建</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光伏</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26,042,687.01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951,944,963.13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自有资金、借款</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99.99%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2023年07月04日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巨潮资讯网（www.cninfo.com.cn）（公告编号：2023-045）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吉西基地鲁固直流项目风电（200MW）</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自建</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风电</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203,981,340.47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462,196,824.57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自有资金、借款</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57.49%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2022年11月08日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巨潮资讯网（www.cninfo.com.cn）（公告编号：2022-092）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年产500万kVAh铅碳电池和年处理20万吨废旧铅蓄电池综合利用配套100MW风电项目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自建</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风电</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34,478,148.56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396,452,318.08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自有资金、借款</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2022年09月17日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巨潮资讯网（www.cninfo.com.cn）（公告编号：2022-073）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扶余市三井子风电场五期100MW风电项目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自建</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风电</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11,971,822.16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363,151,188.44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自有资金、借款</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2022年09月17日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巨潮资讯网（www.cninfo.com.cn）（公告编号：2022-074）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大安风光制绿氢合成氨一体化示范项目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自建</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绿氢、合成氨</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556,112,084.48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987,540,601.50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自有资金、借款</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20.83%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2022年12月31日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巨潮资讯网（www.cninfo.com.cn）（公告编号：2022-106）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南宁邕宁光伏项目二期</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自建</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光伏</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47,049,473.73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660,585,813.18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自有资金、借款</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2022年08月26日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巨潮资讯网（www.cninfo.com.cn）（公告编号：2022-051）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879,635,556.41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3,821,871,708.90</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r>
    </w:tbl>
    <w:p>
      <w:pPr>
        <w:keepNext/>
        <w:keepLines/>
        <w:spacing w:before="300" w:after="300" w:line="280" w:lineRule="exact"/>
        <w:jc w:val="left"/>
        <w:outlineLvl w:val="2"/>
        <w:rPr>
          <w:rFonts w:ascii="宋体" w:hAnsi="宋体" w:eastAsia="宋体" w:cs="宋体"/>
          <w:b/>
          <w:bCs/>
          <w:sz w:val="21"/>
          <w:szCs w:val="21"/>
        </w:rPr>
      </w:pPr>
      <w:bookmarkStart w:id="27" w:name="_Toc988916"/>
      <w:r>
        <w:rPr>
          <w:rFonts w:ascii="宋体" w:hAnsi="宋体" w:eastAsia="宋体" w:cs="宋体"/>
          <w:b/>
          <w:bCs/>
          <w:sz w:val="21"/>
          <w:szCs w:val="21"/>
        </w:rPr>
        <w:t>4、金融资产投资</w:t>
      </w:r>
      <w:bookmarkEnd w:id="27"/>
    </w:p>
    <w:p>
      <w:pPr>
        <w:keepNext/>
        <w:keepLines/>
        <w:spacing w:before="300" w:after="300" w:line="280" w:lineRule="exact"/>
        <w:jc w:val="left"/>
        <w:outlineLvl w:val="3"/>
        <w:rPr>
          <w:rFonts w:ascii="宋体" w:hAnsi="宋体" w:eastAsia="宋体" w:cs="宋体"/>
          <w:b/>
          <w:bCs/>
          <w:sz w:val="18"/>
          <w:szCs w:val="18"/>
        </w:rPr>
      </w:pPr>
      <w:bookmarkStart w:id="28" w:name="_Toc988917"/>
      <w:r>
        <w:rPr>
          <w:rFonts w:ascii="宋体" w:hAnsi="宋体" w:eastAsia="宋体" w:cs="宋体"/>
          <w:b/>
          <w:bCs/>
          <w:sz w:val="18"/>
          <w:szCs w:val="18"/>
        </w:rPr>
        <w:t>（1） 证券投资情况</w:t>
      </w:r>
      <w:bookmarkEnd w:id="28"/>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公司报告期不存在证券投资。</w:t>
      </w:r>
    </w:p>
    <w:p>
      <w:pPr>
        <w:keepNext/>
        <w:keepLines/>
        <w:spacing w:before="300" w:after="300" w:line="280" w:lineRule="exact"/>
        <w:jc w:val="left"/>
        <w:outlineLvl w:val="3"/>
        <w:rPr>
          <w:rFonts w:ascii="宋体" w:hAnsi="宋体" w:eastAsia="宋体" w:cs="宋体"/>
          <w:b/>
          <w:bCs/>
          <w:sz w:val="18"/>
          <w:szCs w:val="18"/>
        </w:rPr>
      </w:pPr>
      <w:bookmarkStart w:id="29" w:name="_Toc988918"/>
      <w:r>
        <w:rPr>
          <w:rFonts w:ascii="宋体" w:hAnsi="宋体" w:eastAsia="宋体" w:cs="宋体"/>
          <w:b/>
          <w:bCs/>
          <w:sz w:val="18"/>
          <w:szCs w:val="18"/>
        </w:rPr>
        <w:t>（2） 衍生品投资情况</w:t>
      </w:r>
      <w:bookmarkEnd w:id="29"/>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公司报告期不存在衍生品投资。</w:t>
      </w:r>
    </w:p>
    <w:p>
      <w:pPr>
        <w:keepNext/>
        <w:keepLines/>
        <w:spacing w:before="300" w:after="300" w:line="280" w:lineRule="exact"/>
        <w:jc w:val="left"/>
        <w:outlineLvl w:val="2"/>
        <w:rPr>
          <w:rFonts w:ascii="宋体" w:hAnsi="宋体" w:eastAsia="宋体" w:cs="宋体"/>
          <w:b/>
          <w:bCs/>
          <w:sz w:val="21"/>
          <w:szCs w:val="21"/>
        </w:rPr>
      </w:pPr>
      <w:bookmarkStart w:id="30" w:name="_Toc988919"/>
      <w:r>
        <w:rPr>
          <w:rFonts w:ascii="宋体" w:hAnsi="宋体" w:eastAsia="宋体" w:cs="宋体"/>
          <w:b/>
          <w:bCs/>
          <w:sz w:val="21"/>
          <w:szCs w:val="21"/>
        </w:rPr>
        <w:t>5、募集资金使用情况</w:t>
      </w:r>
      <w:bookmarkEnd w:id="30"/>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keepNext/>
        <w:keepLines/>
        <w:spacing w:before="300" w:after="300" w:line="280" w:lineRule="exact"/>
        <w:jc w:val="left"/>
        <w:outlineLvl w:val="3"/>
        <w:rPr>
          <w:rFonts w:ascii="宋体" w:hAnsi="宋体" w:eastAsia="宋体" w:cs="宋体"/>
          <w:b/>
          <w:bCs/>
          <w:sz w:val="18"/>
          <w:szCs w:val="18"/>
        </w:rPr>
      </w:pPr>
      <w:bookmarkStart w:id="31" w:name="_Toc988920"/>
      <w:r>
        <w:rPr>
          <w:rFonts w:ascii="宋体" w:hAnsi="宋体" w:eastAsia="宋体" w:cs="宋体"/>
          <w:b/>
          <w:bCs/>
          <w:sz w:val="18"/>
          <w:szCs w:val="18"/>
        </w:rPr>
        <w:t>（1） 募集资金总体使用情况</w:t>
      </w:r>
      <w:bookmarkEnd w:id="31"/>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单位：万元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03"/>
        <w:gridCol w:w="803"/>
        <w:gridCol w:w="803"/>
        <w:gridCol w:w="803"/>
        <w:gridCol w:w="803"/>
        <w:gridCol w:w="803"/>
        <w:gridCol w:w="803"/>
        <w:gridCol w:w="803"/>
        <w:gridCol w:w="803"/>
        <w:gridCol w:w="803"/>
        <w:gridCol w:w="803"/>
        <w:gridCol w:w="8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募集年份</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募集方式</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募集资金总额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募集资金净额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本期已使用募集资金总额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已累计使用募集资金总额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报告期内变更用途的募集资金总额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累计变更用途的募集资金总额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累计变更用途的募集资金总额比例</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尚未使用募集资金总额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尚未使用募集资金用途及去向</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闲置两年以上募集资金金额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2016年度</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非公开发行</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383,993</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375,726.74</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2,022.05</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358,833.69</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20,638.48</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其中204,804,079.32元暂时补充流动资金，募集资金专户余额合计1,580,761.97元，严格按照《募集资金管理办法》对募集资金进行专户管理，尚未使用的募集资金均存放于银行监管账户。</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20,638.48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2021年度</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非公开发行</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224,075.18</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219,717.87</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2.85</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219,734.07</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募集资金专户余额合计0.00元，严格按照《募集资金管理办法》对募集资金进行专户管理，募集资金已使用完毕，为减少管理成本，已完成了上述募集资金专户的注销手续。</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608,068.18</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595,444.61</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2,024.9</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578,567.76</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20,638.48</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20,638.48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1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募集资金总体使用情况说明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1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经中国证券监督管理委员会（以下简称“中国证监会”）证监许可[2016]1994号文核准，向国家电投集团吉林省能源交通总公司等不超过十名的特定对象非公开发行股票685,701,785股新股，发行价格为5.60元/股，募集资金总额为人民币3,839,929,996.00元，扣除发行费用后的募集资金净额为人民币3,757,267,402.43元，资金于2016年12月19日到账。截至2016年12月31日，本公司募集资金专户余额为628,997,079.85元。2017度从专户支出金额为625,521,756.69元（包括支付到各个募投项目子公司募集资金专户的投资款），利息收入830,670.96元，截至2017年12月31日，本公司募集资金专户余额4,305,994.12元。2018年度专户利息收入13,110.31元，账户费用支出760.00元，截至2018年12月31日，本公司募集资金专户余额为4,318,344.43元。2019年度专户利息收入2,359.68元，补充流动资金3,979,148.18元，账户费用支出1,200.00元。截至2019年12月31日，本公司募集资金专户余额为340,355.93元。2020年度专户利息收入1,036.64元，账户费用支出1,140.00元。截至2020年12月31日，本公司募集资金专户余额为340,252.57元。2021年度专户利息收入1,034.31元，账户费用支出750.00元。截至2021年12月31日，本公司募集资金专户余额为340,486.88元。2022 年度专户利息收入991.09元，账户费用支出802.00元。截至2022年12月31日，本公司募集资金专户余额为340,675.97元。2023年度专户利息收入769.38元，账户费用支出1,074.70元。截至2023年12月31日，本公司募集资金专户余额为340,370.65元。2024年半年度专户利息收入345.79元，账户费用支出361.00元。截至2024年6月30日，本公司募集资金专户余额为340,357.44元，各募投项目子公司募集资金专户余额为1,240,404.53元，募集资金专户余额合计1,580,761.97元。</w:t>
            </w:r>
          </w:p>
          <w:p>
            <w:pPr>
              <w:spacing w:before="0" w:after="0" w:line="240" w:lineRule="exact"/>
              <w:jc w:val="left"/>
              <w:rPr>
                <w:rFonts w:ascii="宋体" w:hAnsi="宋体" w:eastAsia="宋体" w:cs="宋体"/>
                <w:sz w:val="18"/>
                <w:szCs w:val="18"/>
              </w:rPr>
            </w:pPr>
            <w:r>
              <w:rPr>
                <w:rFonts w:ascii="宋体" w:hAnsi="宋体" w:eastAsia="宋体" w:cs="宋体"/>
                <w:sz w:val="18"/>
                <w:szCs w:val="18"/>
              </w:rPr>
              <w:t>经中国证券监督管理委员会（证监许可[2020]2610号）文件，向特定投资者发行人民币普通股（A股）643,894,194股，发行价格为3.48元/股，募集资金总额2,240,751,795.12元，扣除各项发行费用，募集资金净额为人民币2,197,178,680.85元，资金于2021年3月16日到账。2021年度专户利息收入74,978.71元，账户费用支出760.00元。截至2021年12月31日，本公司募集资金专户余额为15,802.96元。2022 年度专户利息收入44.86元，账户费用支出680.00元。截至2022年12月31日，本公司募集资金专户余额为15,167.82元。2023年度专户利息收入33.78元，账户费用支出520.00元。截至2023年12月31日，本公司募集资金专户余额为14,681.60元。2024半年度专户利息收入14.53元，账户费用支出600.00元。截至2024年6月30日，本公司募集资金专户已注销，余额为0.00元。</w:t>
            </w:r>
          </w:p>
        </w:tc>
      </w:tr>
    </w:tbl>
    <w:p>
      <w:pPr>
        <w:keepNext/>
        <w:keepLines/>
        <w:spacing w:before="300" w:after="300" w:line="280" w:lineRule="exact"/>
        <w:jc w:val="left"/>
        <w:outlineLvl w:val="3"/>
        <w:rPr>
          <w:rFonts w:ascii="宋体" w:hAnsi="宋体" w:eastAsia="宋体" w:cs="宋体"/>
          <w:b/>
          <w:bCs/>
          <w:sz w:val="18"/>
          <w:szCs w:val="18"/>
        </w:rPr>
      </w:pPr>
      <w:bookmarkStart w:id="32" w:name="_Toc988921"/>
      <w:r>
        <w:rPr>
          <w:rFonts w:ascii="宋体" w:hAnsi="宋体" w:eastAsia="宋体" w:cs="宋体"/>
          <w:b/>
          <w:bCs/>
          <w:sz w:val="18"/>
          <w:szCs w:val="18"/>
        </w:rPr>
        <w:t>（2） 募集资金承诺项目情况</w:t>
      </w:r>
      <w:bookmarkEnd w:id="32"/>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单位：万元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承诺投资项目和超募资金投向</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是否已变更项目(含部分变更)</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募集资金承诺投资总额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调整后投资总额(1)</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本报告期投入金额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截至期末累计投入金额(2)</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截至期末投资进度(3)＝(2)/(1)</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项目达到预定可使用状态日期</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本报告期实现的效益</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是否达到预计效益</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项目可行性是否发生重大变化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承诺投资项目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1.安徽南谯常山风电场项目</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30,999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30,999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28,086.55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90.60%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2016年01月01日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1,538.85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2.青海诺木洪大格勒河东风电场一期工程</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38,808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38,808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38,689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99.69%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2017年10月30日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616.47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3.吉林长岭腰井子风电场二期工程</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36,030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36,030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35,092.07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97.40%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2016年10月01日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941.01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4.吉林长岭三十号风电场二期工程</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35,374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35,374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30,833.56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87.16%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2016年06月01日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971.09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5.河南省辉县市南旋风风电场工程</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81,348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81,348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2,022.05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69,406.29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85.32%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2018年01月01日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3,396.18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6.收购三塘湖99MW 风电并网发电项目</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23,114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23,114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23,115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2016年06月30日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1,343.36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7.收购陕西定边150MW 并网光伏发电项目</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38,320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38,320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38,320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2016年06月30日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3,232.21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8.补充流动资金</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95,291.22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95.29%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9.安徽宿松九成风电项目（100MW）</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44,657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31,026.44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31,026.44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2021年04月05日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2,219.5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10.延安宝塔蟠龙风电项目（100MW）</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37,666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29,123.28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29,123.28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2021年04月01日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1,175.44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11.青海乌兰风电项目（50MW）</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20,435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8,374.83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8,374.83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2020年11月26日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833.48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12.江西兴国风电场项目（278MW）</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7,042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7,042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7,042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2021年01月10日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7,645.16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13.广西崇左响水平价光伏项目（150MW）</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59,400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35,502.11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35,502.11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2021年01月10日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230.63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14.山东寿光恒远平价光伏项目（200MW）</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45,800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45,800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45,800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2021年05月18日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2,031.82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15.补充流动资金</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62,849.21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62,865.41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承诺投资项目小计</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683,993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603,710.87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2,024.9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578,567.76</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26,175.2</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超募资金投向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683,993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603,710.87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2,024.9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578,567.76</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26,175.2</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分项目说明未达到计划进度、预计收益的情况和原因（含“是否达到预计效益”选择“不适用”的原因）</w:t>
            </w:r>
          </w:p>
        </w:tc>
        <w:tc>
          <w:tcPr>
            <w:tcW w:w="876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本报告期上述募投项目，实现收益26,175.20万元，部分未达到预期收益的原因如下：1.青海诺木洪大格勒河东风电场一期工程未达到预计收益的原因：项目所在地新能源项目投产较多，受限电影响较大，发电利用小时数没有达到预期；参与市场交易影响部分电价；2.三塘湖99MW风电并网发电项目未达到预计收益的原因：项目所在地受电网限电影响；参与市场交易影响部分电价；3.陕西定边150MW并网光伏发电项目未达到预计收益的原因：项目所在地受电网限电影响；参与市场交易影响部分电价；4.延安宝塔蟠龙风电项目（100MW）未达到预计收益的原因为，受外送安全约束，常规电源调峰不足、新能源增速过快影响以及陕西区域限电对发电影响较大；故障损失电量增加；5.广西崇左响水平价光伏项目（150MW）未达到预计收益的原因为，受天气影响发电量减少，且根据广西壮族自治区最新规定，集中式光伏项目电价调整，较基准电价降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项目可行性发生重大变化的情况说明</w:t>
            </w:r>
          </w:p>
        </w:tc>
        <w:tc>
          <w:tcPr>
            <w:tcW w:w="876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超募资金的金额、用途及使用进展情况</w:t>
            </w:r>
          </w:p>
        </w:tc>
        <w:tc>
          <w:tcPr>
            <w:tcW w:w="876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募集资金投资项目实施地点变更情况</w:t>
            </w:r>
          </w:p>
        </w:tc>
        <w:tc>
          <w:tcPr>
            <w:tcW w:w="876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募集资金投资项目实施方式调整情况</w:t>
            </w:r>
          </w:p>
        </w:tc>
        <w:tc>
          <w:tcPr>
            <w:tcW w:w="876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募集资金投资项目先期投入及置换情况</w:t>
            </w:r>
          </w:p>
        </w:tc>
        <w:tc>
          <w:tcPr>
            <w:tcW w:w="876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公司对上述1-7项目，前期预先自筹资金投入额185,231.38万元。公司于2016年12月26日召开第七届董事会第七次会议审议通过了《关于使用募集资金置换预先</w:t>
            </w:r>
            <w:r>
              <w:rPr>
                <w:rFonts w:hint="eastAsia" w:ascii="宋体" w:hAnsi="宋体" w:cs="宋体"/>
                <w:sz w:val="18"/>
                <w:szCs w:val="18"/>
                <w:lang w:eastAsia="zh-CN"/>
              </w:rPr>
              <w:t>已</w:t>
            </w:r>
            <w:r>
              <w:rPr>
                <w:rFonts w:ascii="宋体" w:hAnsi="宋体" w:eastAsia="宋体" w:cs="宋体"/>
                <w:sz w:val="18"/>
                <w:szCs w:val="18"/>
              </w:rPr>
              <w:t>投入募投项目自筹资金的议案》，同意公司使用募集资金185,230.38万元置换预先已投入募集资金投资项目的自筹资金。</w:t>
            </w:r>
          </w:p>
          <w:p>
            <w:pPr>
              <w:spacing w:before="0" w:after="0" w:line="240" w:lineRule="exact"/>
              <w:jc w:val="left"/>
              <w:rPr>
                <w:rFonts w:ascii="宋体" w:hAnsi="宋体" w:eastAsia="宋体" w:cs="宋体"/>
                <w:sz w:val="18"/>
                <w:szCs w:val="18"/>
              </w:rPr>
            </w:pPr>
            <w:r>
              <w:rPr>
                <w:rFonts w:ascii="宋体" w:hAnsi="宋体" w:eastAsia="宋体" w:cs="宋体"/>
                <w:sz w:val="18"/>
                <w:szCs w:val="18"/>
              </w:rPr>
              <w:t>公司对上述9-14项目，前期预先自筹资金投入额243,857.16万元。公司于2021年3月19日召开第八届董事会第十七次会议审议通过了《关于使用募集资金置换预先</w:t>
            </w:r>
            <w:r>
              <w:rPr>
                <w:rFonts w:hint="eastAsia" w:ascii="宋体" w:hAnsi="宋体" w:cs="宋体"/>
                <w:sz w:val="18"/>
                <w:szCs w:val="18"/>
                <w:lang w:eastAsia="zh-CN"/>
              </w:rPr>
              <w:t>已</w:t>
            </w:r>
            <w:r>
              <w:rPr>
                <w:rFonts w:ascii="宋体" w:hAnsi="宋体" w:eastAsia="宋体" w:cs="宋体"/>
                <w:sz w:val="18"/>
                <w:szCs w:val="18"/>
              </w:rPr>
              <w:t>投入募投项目自筹资金的议案》，同意公司使用募集资金156,868.66万元置换预先已投入募集资金投资项目的自筹资金。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用闲置募集资金暂时补充流动资金情况</w:t>
            </w:r>
          </w:p>
        </w:tc>
        <w:tc>
          <w:tcPr>
            <w:tcW w:w="876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于2024年4月26日召开第九届董事会第十七次会议审议通过了《关于使用闲置募集资金暂时补充流动资金的议案》，同意使用不超过20,700万元的闲置募集资金暂时补充流动资金，使用期限于本次董事会审议批准之日起不超过12个月。截至2024年6月30日，公司使用204,804,079.32元闲置募集资金暂时补充流动资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项目实施出现募集资金结余的金额及原因</w:t>
            </w:r>
          </w:p>
        </w:tc>
        <w:tc>
          <w:tcPr>
            <w:tcW w:w="876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尚未使用的募集资金用途及去向</w:t>
            </w:r>
          </w:p>
        </w:tc>
        <w:tc>
          <w:tcPr>
            <w:tcW w:w="876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截至2024年6月30日，尚未使用的募集资金中，204,804,079.32元用于暂时补充流动资金，募集资金专户余额合计1,580,761.97元，严格按照《募集资金管理办法》对募集资金进行专户管理，尚未使用的募集资金，均存放于银行监管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募集资金使用及披露中存在的问题或其他情况</w:t>
            </w:r>
          </w:p>
        </w:tc>
        <w:tc>
          <w:tcPr>
            <w:tcW w:w="876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bl>
    <w:p>
      <w:pPr>
        <w:keepNext/>
        <w:keepLines/>
        <w:spacing w:before="300" w:after="300" w:line="280" w:lineRule="exact"/>
        <w:jc w:val="left"/>
        <w:outlineLvl w:val="3"/>
        <w:rPr>
          <w:rFonts w:ascii="宋体" w:hAnsi="宋体" w:eastAsia="宋体" w:cs="宋体"/>
          <w:b/>
          <w:bCs/>
          <w:sz w:val="18"/>
          <w:szCs w:val="18"/>
        </w:rPr>
      </w:pPr>
      <w:bookmarkStart w:id="33" w:name="_Toc988922"/>
      <w:r>
        <w:rPr>
          <w:rFonts w:ascii="宋体" w:hAnsi="宋体" w:eastAsia="宋体" w:cs="宋体"/>
          <w:b/>
          <w:bCs/>
          <w:sz w:val="18"/>
          <w:szCs w:val="18"/>
        </w:rPr>
        <w:t>（3） 募集资金变更项目情况</w:t>
      </w:r>
      <w:bookmarkEnd w:id="33"/>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公司报告期不存在募集资金变更项目情况。</w:t>
      </w:r>
    </w:p>
    <w:p>
      <w:pPr>
        <w:keepNext/>
        <w:keepLines/>
        <w:spacing w:before="300" w:after="300" w:line="320" w:lineRule="exact"/>
        <w:jc w:val="left"/>
        <w:outlineLvl w:val="1"/>
        <w:rPr>
          <w:rFonts w:ascii="宋体" w:hAnsi="宋体" w:eastAsia="宋体" w:cs="宋体"/>
          <w:b/>
          <w:bCs/>
          <w:sz w:val="24"/>
          <w:szCs w:val="24"/>
        </w:rPr>
      </w:pPr>
      <w:bookmarkStart w:id="34" w:name="_Toc988923"/>
      <w:r>
        <w:rPr>
          <w:rFonts w:ascii="宋体" w:hAnsi="宋体" w:eastAsia="宋体" w:cs="宋体"/>
          <w:b/>
          <w:bCs/>
          <w:sz w:val="24"/>
          <w:szCs w:val="24"/>
        </w:rPr>
        <w:t>七、重大资产和股权出售</w:t>
      </w:r>
      <w:bookmarkEnd w:id="34"/>
    </w:p>
    <w:p>
      <w:pPr>
        <w:keepNext/>
        <w:keepLines/>
        <w:spacing w:before="300" w:after="300" w:line="280" w:lineRule="exact"/>
        <w:jc w:val="left"/>
        <w:outlineLvl w:val="2"/>
        <w:rPr>
          <w:rFonts w:ascii="宋体" w:hAnsi="宋体" w:eastAsia="宋体" w:cs="宋体"/>
          <w:b/>
          <w:bCs/>
          <w:sz w:val="21"/>
          <w:szCs w:val="21"/>
        </w:rPr>
      </w:pPr>
      <w:bookmarkStart w:id="35" w:name="_Toc988924"/>
      <w:r>
        <w:rPr>
          <w:rFonts w:ascii="宋体" w:hAnsi="宋体" w:eastAsia="宋体" w:cs="宋体"/>
          <w:b/>
          <w:bCs/>
          <w:sz w:val="21"/>
          <w:szCs w:val="21"/>
        </w:rPr>
        <w:t>1、出售重大资产情况</w:t>
      </w:r>
      <w:bookmarkEnd w:id="35"/>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公司报告期未出售重大资产。</w:t>
      </w:r>
    </w:p>
    <w:p>
      <w:pPr>
        <w:keepNext/>
        <w:keepLines/>
        <w:spacing w:before="300" w:after="300" w:line="280" w:lineRule="exact"/>
        <w:jc w:val="left"/>
        <w:outlineLvl w:val="2"/>
        <w:rPr>
          <w:rFonts w:ascii="宋体" w:hAnsi="宋体" w:eastAsia="宋体" w:cs="宋体"/>
          <w:b/>
          <w:bCs/>
          <w:sz w:val="21"/>
          <w:szCs w:val="21"/>
        </w:rPr>
      </w:pPr>
      <w:bookmarkStart w:id="36" w:name="_Toc988925"/>
      <w:r>
        <w:rPr>
          <w:rFonts w:ascii="宋体" w:hAnsi="宋体" w:eastAsia="宋体" w:cs="宋体"/>
          <w:b/>
          <w:bCs/>
          <w:sz w:val="21"/>
          <w:szCs w:val="21"/>
        </w:rPr>
        <w:t>2、出售重大股权情况</w:t>
      </w:r>
      <w:bookmarkEnd w:id="36"/>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37" w:name="_Toc988926"/>
      <w:r>
        <w:rPr>
          <w:rFonts w:ascii="宋体" w:hAnsi="宋体" w:eastAsia="宋体" w:cs="宋体"/>
          <w:b/>
          <w:bCs/>
          <w:sz w:val="24"/>
          <w:szCs w:val="24"/>
        </w:rPr>
        <w:t>八、主要控股参股公司分析</w:t>
      </w:r>
      <w:bookmarkEnd w:id="37"/>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主要子公司及对公司净利润影响达10%以上的参股公司情况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公司名称</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公司类型</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主要业务</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注册资本</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总资产</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净资产</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营业利润</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净利润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吉林吉电新能源有限公司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新能源开发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2,436,074,070.53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5,762,109,641.69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3,418,445,081.14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386,908,634.12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173,000,215.76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147,094,842.11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江西中电投新能源发电有限公司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新能源开发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1,099,160,000.00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4,979,756,370.09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1,700,486,634.98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376,191,584.21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181,826,227.83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157,282,613.29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安徽吉电新能源有限公司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新能源开发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2,512,214,100.00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14,691,357,907.13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3,968,555,661.99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863,421,391.88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276,772,027.73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245,948,750.65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北京吉能新能源科技有限公司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新能源开发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754,000,000.00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7,251,250,814.07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1,372,978,827.52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474,023,004.37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177,322,844.81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159,949,588.16</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报告期内取得和处置子公司的情况</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主要控股参股公司情况说明</w:t>
      </w:r>
    </w:p>
    <w:p>
      <w:pPr>
        <w:keepNext/>
        <w:keepLines/>
        <w:spacing w:before="300" w:after="300" w:line="320" w:lineRule="exact"/>
        <w:jc w:val="left"/>
        <w:outlineLvl w:val="1"/>
        <w:rPr>
          <w:rFonts w:ascii="宋体" w:hAnsi="宋体" w:eastAsia="宋体" w:cs="宋体"/>
          <w:b/>
          <w:bCs/>
          <w:sz w:val="24"/>
          <w:szCs w:val="24"/>
        </w:rPr>
      </w:pPr>
      <w:bookmarkStart w:id="38" w:name="_Toc988927"/>
      <w:r>
        <w:rPr>
          <w:rFonts w:ascii="宋体" w:hAnsi="宋体" w:eastAsia="宋体" w:cs="宋体"/>
          <w:b/>
          <w:bCs/>
          <w:sz w:val="24"/>
          <w:szCs w:val="24"/>
        </w:rPr>
        <w:t>九、公司控制的结构化主体情况</w:t>
      </w:r>
      <w:bookmarkEnd w:id="38"/>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pStyle w:val="5"/>
        <w:keepNext w:val="0"/>
        <w:keepLines w:val="0"/>
        <w:widowControl/>
        <w:suppressLineNumbers w:val="0"/>
        <w:spacing w:before="40" w:beforeAutospacing="0" w:after="40" w:afterAutospacing="0" w:line="240" w:lineRule="atLeast"/>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截至2024年06月30日，本公司持有吉电清能工融（北京）股权投资基金合伙企业（有限合伙）19.98%的股权比例。根据吉电清能工融（北京）股权投资基金合伙企业（有限合伙）的合伙协议所规定的表决机制，本公司可以控制该基金的投资决策。因此，本公司对吉电清能工融（北京）股权投资基金合伙企业（有限合伙）具有实际控制权，故将该基金纳入合并范围。</w:t>
      </w:r>
    </w:p>
    <w:p>
      <w:pPr>
        <w:keepNext/>
        <w:keepLines/>
        <w:spacing w:before="300" w:after="300" w:line="320" w:lineRule="exact"/>
        <w:jc w:val="left"/>
        <w:outlineLvl w:val="1"/>
        <w:rPr>
          <w:rFonts w:ascii="宋体" w:hAnsi="宋体" w:eastAsia="宋体" w:cs="宋体"/>
          <w:b/>
          <w:bCs/>
          <w:sz w:val="24"/>
          <w:szCs w:val="24"/>
        </w:rPr>
      </w:pPr>
      <w:bookmarkStart w:id="39" w:name="_Toc988928"/>
      <w:r>
        <w:rPr>
          <w:rFonts w:ascii="宋体" w:hAnsi="宋体" w:eastAsia="宋体" w:cs="宋体"/>
          <w:b/>
          <w:bCs/>
          <w:sz w:val="24"/>
          <w:szCs w:val="24"/>
        </w:rPr>
        <w:t>十、公司面临的风险和应对措施</w:t>
      </w:r>
      <w:bookmarkEnd w:id="39"/>
    </w:p>
    <w:p>
      <w:pPr>
        <w:pStyle w:val="5"/>
        <w:keepNext w:val="0"/>
        <w:keepLines w:val="0"/>
        <w:widowControl/>
        <w:suppressLineNumbers w:val="0"/>
        <w:spacing w:before="0" w:beforeAutospacing="0" w:after="0" w:afterAutospacing="0"/>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1.市场风险：随着电力改革深入，全国电力现货市场建设全面提速，电力市场体系逐渐完善，市场化价格机制逐步建立。市场化交易规模不断扩大，电力市场竞争加剧，电价风险逐步释放。</w:t>
      </w:r>
    </w:p>
    <w:p>
      <w:pPr>
        <w:pStyle w:val="5"/>
        <w:keepNext w:val="0"/>
        <w:keepLines w:val="0"/>
        <w:widowControl/>
        <w:suppressLineNumbers w:val="0"/>
        <w:spacing w:before="0" w:beforeAutospacing="0" w:after="0" w:afterAutospacing="0"/>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应对措施：结合区域电力市场特征加强政策研究和市场研判，优化市场化电量结构；开展现货价格分析预测，加强对市场各类风险总体把控；结合项目所在地电力市场形势及项目自身情况制定对价格风险、偏差风险的对冲策略。针对项目所在区域，结合价格预测进行投资分析，提升现货交易能力。积极开展绿电、绿证交易和碳交易，通过环境溢价提升新能源项目盈利能力。</w:t>
      </w:r>
    </w:p>
    <w:p>
      <w:pPr>
        <w:pStyle w:val="5"/>
        <w:keepNext w:val="0"/>
        <w:keepLines w:val="0"/>
        <w:widowControl/>
        <w:suppressLineNumbers w:val="0"/>
        <w:spacing w:before="0" w:beforeAutospacing="0" w:after="0" w:afterAutospacing="0"/>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2.环保约束风险：生产过程产生的废水、废油、危废、固废，可能对环境造成污染。</w:t>
      </w:r>
    </w:p>
    <w:p>
      <w:pPr>
        <w:pStyle w:val="5"/>
        <w:keepNext w:val="0"/>
        <w:keepLines w:val="0"/>
        <w:widowControl/>
        <w:suppressLineNumbers w:val="0"/>
        <w:spacing w:before="0" w:beforeAutospacing="0" w:after="0" w:afterAutospacing="0"/>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应对措施：2024年上半年，公司严格落实国家生态环境保护法律法规，紧紧围绕上级单位生态环保“十条禁令”“二十条不准”，以企业合法合规、空气质量保障、危废处置、水十条相关要求为重点，对超净改造、环保设备改造等项目进行跟进，定期组织对各单位废水、废油、危废、固废处置情况开展督查整改，确保生态环保工作有序开展。</w:t>
      </w:r>
    </w:p>
    <w:p>
      <w:pPr>
        <w:keepNext/>
        <w:keepLines/>
        <w:spacing w:before="300" w:after="300" w:line="320" w:lineRule="exact"/>
        <w:jc w:val="left"/>
        <w:outlineLvl w:val="1"/>
        <w:rPr>
          <w:rFonts w:ascii="宋体" w:hAnsi="宋体" w:eastAsia="宋体" w:cs="宋体"/>
          <w:b/>
          <w:bCs/>
          <w:sz w:val="24"/>
          <w:szCs w:val="24"/>
        </w:rPr>
      </w:pPr>
      <w:bookmarkStart w:id="40" w:name="_Toc988929"/>
      <w:r>
        <w:rPr>
          <w:rFonts w:ascii="宋体" w:hAnsi="宋体" w:eastAsia="宋体" w:cs="宋体"/>
          <w:b/>
          <w:bCs/>
          <w:sz w:val="24"/>
          <w:szCs w:val="24"/>
        </w:rPr>
        <w:t>十一、“质量回报双提升”行动方案贯彻落实情况</w:t>
      </w:r>
      <w:bookmarkEnd w:id="40"/>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公司是否披露了“质量回报双提升”行动方案公告。</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r>
        <w:br w:type="page"/>
      </w:r>
    </w:p>
    <w:p>
      <w:pPr>
        <w:keepNext/>
        <w:keepLines/>
        <w:spacing w:before="340" w:after="330" w:line="773" w:lineRule="exact"/>
        <w:jc w:val="center"/>
        <w:outlineLvl w:val="0"/>
        <w:rPr>
          <w:rFonts w:ascii="宋体" w:hAnsi="宋体" w:eastAsia="宋体" w:cs="宋体"/>
          <w:b/>
          <w:bCs/>
          <w:sz w:val="32"/>
          <w:szCs w:val="32"/>
        </w:rPr>
      </w:pPr>
      <w:bookmarkStart w:id="41" w:name="_Toc988930"/>
      <w:r>
        <w:rPr>
          <w:rFonts w:ascii="宋体" w:hAnsi="宋体" w:eastAsia="宋体" w:cs="宋体"/>
          <w:b/>
          <w:bCs/>
          <w:sz w:val="32"/>
          <w:szCs w:val="32"/>
        </w:rPr>
        <w:t>第四节 公司治理</w:t>
      </w:r>
      <w:bookmarkEnd w:id="41"/>
    </w:p>
    <w:p>
      <w:pPr>
        <w:keepNext/>
        <w:keepLines/>
        <w:spacing w:before="300" w:after="300" w:line="320" w:lineRule="exact"/>
        <w:jc w:val="left"/>
        <w:outlineLvl w:val="1"/>
        <w:rPr>
          <w:rFonts w:ascii="宋体" w:hAnsi="宋体" w:eastAsia="宋体" w:cs="宋体"/>
          <w:b/>
          <w:bCs/>
          <w:sz w:val="24"/>
          <w:szCs w:val="24"/>
        </w:rPr>
      </w:pPr>
      <w:bookmarkStart w:id="42" w:name="_Toc988931"/>
      <w:r>
        <w:rPr>
          <w:rFonts w:ascii="宋体" w:hAnsi="宋体" w:eastAsia="宋体" w:cs="宋体"/>
          <w:b/>
          <w:bCs/>
          <w:sz w:val="24"/>
          <w:szCs w:val="24"/>
        </w:rPr>
        <w:t>一、报告期内召开的年度股东大会和临时股东大会的有关情况</w:t>
      </w:r>
      <w:bookmarkEnd w:id="42"/>
    </w:p>
    <w:p>
      <w:pPr>
        <w:keepNext/>
        <w:keepLines/>
        <w:spacing w:before="300" w:after="300" w:line="280" w:lineRule="exact"/>
        <w:jc w:val="left"/>
        <w:outlineLvl w:val="2"/>
        <w:rPr>
          <w:rFonts w:ascii="宋体" w:hAnsi="宋体" w:eastAsia="宋体" w:cs="宋体"/>
          <w:b/>
          <w:bCs/>
          <w:sz w:val="21"/>
          <w:szCs w:val="21"/>
        </w:rPr>
      </w:pPr>
      <w:bookmarkStart w:id="43" w:name="_Toc988932"/>
      <w:r>
        <w:rPr>
          <w:rFonts w:ascii="宋体" w:hAnsi="宋体" w:eastAsia="宋体" w:cs="宋体"/>
          <w:b/>
          <w:bCs/>
          <w:sz w:val="21"/>
          <w:szCs w:val="21"/>
        </w:rPr>
        <w:t>1、本报告期股东大会情况</w:t>
      </w:r>
      <w:bookmarkEnd w:id="43"/>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会议届次</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会议类型</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投资者参与比例</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召开日期</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披露日期</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会议决议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2024年第一次临时股东大会</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临时股东大会</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32.37%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2024年01月31日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2024年02月01日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会议审议并通过：1.关于选举金华先生为第九届董事会独立董事的议案；2.关于申请注册发行公司债券的议案。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2024年第二次临时股东大会</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临时股东大会</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33.68%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2024年04月08日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2024年04月09日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会议审议并通过：1.关于公司所属企业拟接受上海发电设备成套设计研究院有限责任公司提供EPC工程总承包服务暨关联交易的议案；2.关于公司所属企业拟接受上海能源科技发展有限公司提供EPC工程总承包服务暨关联交易的议案；3.关于提请股东大会延长授权董事会全权办理公司向特定对象发行股票相关事宜有效期的议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2023年度股东大会</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年度股东大会</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33.37%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2024年05月28日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2024年05月29日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会议审议并通过：1.公司2023年度董事会工作报告；2.公司2023年度监事会工作报告；3.公司2023年度财务决算报告；4.公司2023年度利润分配预案；5.公司2024年中期分红安排；6.公司2023年年度报告及摘要；7.公司2024年度财务预算报告；8.公司2024年度融资计划；9.公司2024年度债券发行计划；10.公司2024年度投资计划；11.关于公司与国家电投集团财务有限公司办理存款、贷款业务的议案；12.关于前次募集资金使用情况报告的议案；13.关于公司2024年度预计日常关联交易事项的议案；13.1关于采购内蒙古电投能源股份有限公司及其所属公司煤炭的议案；13.2关于采购内蒙古白音华蒙东露天煤业有限公司、国家电投集团内蒙古白音华煤电有限公司露天矿煤炭的议案；13.3关于拟接受国家电力投资集团有限公司物资装备分公司物资配送服务的议案；14.关于投资建设山东潍坊风光储多能互补试点项目首批二期250兆瓦风电项目的议案；15.关于选举杨玉峰先生为公司第九届董事会股东代表董事的议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2024年第三次临时股东大会</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临时股东大会</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32.50%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2024年06月14日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2024年06月15日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会议审议并通过：关于投资建设山东潍坊风光储多能互补试点项目首批三期420兆瓦光伏项目的议案。</w:t>
            </w:r>
          </w:p>
        </w:tc>
      </w:tr>
    </w:tbl>
    <w:p>
      <w:pPr>
        <w:keepNext/>
        <w:keepLines/>
        <w:spacing w:before="300" w:after="300" w:line="280" w:lineRule="exact"/>
        <w:jc w:val="left"/>
        <w:outlineLvl w:val="2"/>
        <w:rPr>
          <w:rFonts w:ascii="宋体" w:hAnsi="宋体" w:eastAsia="宋体" w:cs="宋体"/>
          <w:b/>
          <w:bCs/>
          <w:sz w:val="21"/>
          <w:szCs w:val="21"/>
        </w:rPr>
      </w:pPr>
      <w:bookmarkStart w:id="44" w:name="_Toc988933"/>
      <w:r>
        <w:rPr>
          <w:rFonts w:ascii="宋体" w:hAnsi="宋体" w:eastAsia="宋体" w:cs="宋体"/>
          <w:b/>
          <w:bCs/>
          <w:sz w:val="21"/>
          <w:szCs w:val="21"/>
        </w:rPr>
        <w:t>2、表决权恢复的优先股股东请求召开临时股东大会</w:t>
      </w:r>
      <w:bookmarkEnd w:id="44"/>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45" w:name="_Toc988934"/>
      <w:r>
        <w:rPr>
          <w:rFonts w:ascii="宋体" w:hAnsi="宋体" w:eastAsia="宋体" w:cs="宋体"/>
          <w:b/>
          <w:bCs/>
          <w:sz w:val="24"/>
          <w:szCs w:val="24"/>
        </w:rPr>
        <w:t>二、公司董事、监事、高级管理人员变动情况</w:t>
      </w:r>
      <w:bookmarkEnd w:id="45"/>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姓名</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担任的职务</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类型</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日期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刘阳</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第九届监事会职工代表监事</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被选举</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2024年01月09日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职工代表监事空缺，选举产生。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王义军</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独立董事</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离任</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2024年01月31日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连续担任独立董事满六年。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金华</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独立董事</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被选举</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2024年01月31日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独立董事空缺，选举产生。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才延福</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董事长</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离任</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2024年05月07日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退休原因。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杨玉峰</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董事长</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被选举</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2024年05月29日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董事长空缺，选举产生。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马佳</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副总经理</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离任</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2024年05月29日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工作变动。</w:t>
            </w:r>
          </w:p>
        </w:tc>
      </w:tr>
    </w:tbl>
    <w:p>
      <w:pPr>
        <w:keepNext/>
        <w:keepLines/>
        <w:spacing w:before="300" w:after="300" w:line="320" w:lineRule="exact"/>
        <w:jc w:val="left"/>
        <w:outlineLvl w:val="1"/>
        <w:rPr>
          <w:rFonts w:ascii="宋体" w:hAnsi="宋体" w:eastAsia="宋体" w:cs="宋体"/>
          <w:b/>
          <w:bCs/>
          <w:sz w:val="24"/>
          <w:szCs w:val="24"/>
        </w:rPr>
      </w:pPr>
      <w:bookmarkStart w:id="46" w:name="_Toc988935"/>
      <w:r>
        <w:rPr>
          <w:rFonts w:ascii="宋体" w:hAnsi="宋体" w:eastAsia="宋体" w:cs="宋体"/>
          <w:b/>
          <w:bCs/>
          <w:sz w:val="24"/>
          <w:szCs w:val="24"/>
        </w:rPr>
        <w:t>三、本报告期利润分配及资本公积金转增股本情况</w:t>
      </w:r>
      <w:bookmarkEnd w:id="46"/>
    </w:p>
    <w:p>
      <w:pPr>
        <w:spacing w:before="0" w:after="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tbl>
      <w:tblPr>
        <w:tblStyle w:val="6"/>
        <w:tblW w:w="982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500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每10股送红股数（股）</w:t>
            </w:r>
          </w:p>
        </w:tc>
        <w:tc>
          <w:tcPr>
            <w:tcW w:w="500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每10股派息数（元）（含税）</w:t>
            </w:r>
          </w:p>
        </w:tc>
        <w:tc>
          <w:tcPr>
            <w:tcW w:w="500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分配预案的股本基数（股）</w:t>
            </w:r>
          </w:p>
        </w:tc>
        <w:tc>
          <w:tcPr>
            <w:tcW w:w="500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现金分红金额（元）（含税）</w:t>
            </w:r>
          </w:p>
        </w:tc>
        <w:tc>
          <w:tcPr>
            <w:tcW w:w="500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326,454,356.36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以其他方式（如回购股份）现金分红金额（元）</w:t>
            </w:r>
          </w:p>
        </w:tc>
        <w:tc>
          <w:tcPr>
            <w:tcW w:w="500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现金分红总额（含其他方式）（元）</w:t>
            </w:r>
          </w:p>
        </w:tc>
        <w:tc>
          <w:tcPr>
            <w:tcW w:w="500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326,454,356.36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可分配利润（元）</w:t>
            </w:r>
          </w:p>
        </w:tc>
        <w:tc>
          <w:tcPr>
            <w:tcW w:w="500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884,234,570.61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现金分红总额（含其他方式）占利润分配总额的比例</w:t>
            </w:r>
          </w:p>
        </w:tc>
        <w:tc>
          <w:tcPr>
            <w:tcW w:w="500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828"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本次现金分红情况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828"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eastAsia" w:ascii="宋体" w:hAnsi="宋体" w:eastAsia="宋体" w:cs="宋体"/>
                <w:sz w:val="18"/>
                <w:szCs w:val="18"/>
                <w:lang w:val="en-US" w:eastAsia="zh-CN"/>
              </w:rPr>
            </w:pPr>
            <w:r>
              <w:rPr>
                <w:rFonts w:ascii="宋体" w:hAnsi="宋体" w:eastAsia="宋体" w:cs="宋体"/>
                <w:sz w:val="18"/>
                <w:szCs w:val="18"/>
              </w:rPr>
              <w:t>公司发展阶段属成熟期且有重大资金支出安排的，进行利润分配时，现金分红在本次利润分配中所占比例最低应达到40</w:t>
            </w:r>
            <w:r>
              <w:rPr>
                <w:rFonts w:hint="eastAsia" w:ascii="宋体" w:hAnsi="宋体" w:cs="宋体"/>
                <w:sz w:val="18"/>
                <w:szCs w:val="18"/>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828"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利润分配或资本公积金转增预案的详细情况说明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828"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2023年度股东大会审议通过了《公司2024年中期分红安排》，同意2024年半年度，公司结合2023年末未分配利润与当期业绩进行分红，以当时总股本为基数，在满足《公司章程》规定的利润分配条件的前提下，现金分红金额不超过相应期间归属于上市公司股东的净利润的30%。股东大会同意授权董事会根据股东大会决议在符合利润分配的条件下制定具体的中期分红方案。</w:t>
            </w:r>
          </w:p>
          <w:p>
            <w:pPr>
              <w:spacing w:before="0" w:after="0" w:line="240" w:lineRule="exact"/>
              <w:jc w:val="left"/>
              <w:rPr>
                <w:rFonts w:ascii="宋体" w:hAnsi="宋体" w:eastAsia="宋体" w:cs="宋体"/>
                <w:sz w:val="18"/>
                <w:szCs w:val="18"/>
              </w:rPr>
            </w:pPr>
            <w:r>
              <w:rPr>
                <w:rFonts w:ascii="宋体" w:hAnsi="宋体" w:eastAsia="宋体" w:cs="宋体"/>
                <w:sz w:val="18"/>
                <w:szCs w:val="18"/>
              </w:rPr>
              <w:t>经第九届董事会第二十一次会议审议，基于公司实际经营情况和长远利益，并考虑对广大投资者的合理回报，拟定2024年半年度利润分配预案如下：以现有总股本2,790,208,174股为基数，向全体股东每10股派发现金红利1.17元（含税），共计分配现金股利326,454,356.36元，占2024年上半年归属于母公司所有者的净利润29.83%；2024年半年度不送红股，不以资本公积金转增股本。</w:t>
            </w:r>
          </w:p>
          <w:p>
            <w:pPr>
              <w:spacing w:before="0" w:after="0" w:line="240" w:lineRule="exact"/>
              <w:jc w:val="left"/>
              <w:rPr>
                <w:rFonts w:ascii="宋体" w:hAnsi="宋体" w:eastAsia="宋体" w:cs="宋体"/>
                <w:sz w:val="18"/>
                <w:szCs w:val="18"/>
              </w:rPr>
            </w:pPr>
            <w:r>
              <w:rPr>
                <w:rFonts w:ascii="宋体" w:hAnsi="宋体" w:eastAsia="宋体" w:cs="宋体"/>
                <w:sz w:val="18"/>
                <w:szCs w:val="18"/>
              </w:rPr>
              <w:t>上述预案符合公司章程及公司2024年中期分红安排的相关规定，充分保护了中小投资者的合法权益，并经独立董事专门会议审查通过，审议程序合法合规。</w:t>
            </w:r>
          </w:p>
        </w:tc>
      </w:tr>
    </w:tbl>
    <w:p>
      <w:pPr>
        <w:keepNext/>
        <w:keepLines/>
        <w:spacing w:before="300" w:after="300" w:line="320" w:lineRule="exact"/>
        <w:jc w:val="left"/>
        <w:outlineLvl w:val="1"/>
        <w:rPr>
          <w:rFonts w:ascii="宋体" w:hAnsi="宋体" w:eastAsia="宋体" w:cs="宋体"/>
          <w:b/>
          <w:bCs/>
          <w:sz w:val="24"/>
          <w:szCs w:val="24"/>
        </w:rPr>
      </w:pPr>
      <w:bookmarkStart w:id="47" w:name="_Toc988936"/>
      <w:r>
        <w:rPr>
          <w:rFonts w:ascii="宋体" w:hAnsi="宋体" w:eastAsia="宋体" w:cs="宋体"/>
          <w:b/>
          <w:bCs/>
          <w:sz w:val="24"/>
          <w:szCs w:val="24"/>
        </w:rPr>
        <w:t>四、公司股权激励计划、员工持股计划或其他员工激励措施的实施情况</w:t>
      </w:r>
      <w:bookmarkEnd w:id="47"/>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公司报告期无股权激励计划、员工持股计划或其他员工激励措施及其实施情况。</w:t>
      </w:r>
    </w:p>
    <w:p>
      <w:r>
        <w:br w:type="page"/>
      </w:r>
    </w:p>
    <w:p>
      <w:pPr>
        <w:keepNext/>
        <w:keepLines/>
        <w:spacing w:before="340" w:after="330" w:line="773" w:lineRule="exact"/>
        <w:jc w:val="center"/>
        <w:outlineLvl w:val="0"/>
        <w:rPr>
          <w:rFonts w:ascii="宋体" w:hAnsi="宋体" w:eastAsia="宋体" w:cs="宋体"/>
          <w:b/>
          <w:bCs/>
          <w:sz w:val="32"/>
          <w:szCs w:val="32"/>
        </w:rPr>
      </w:pPr>
      <w:bookmarkStart w:id="48" w:name="_Toc988937"/>
      <w:r>
        <w:rPr>
          <w:rFonts w:ascii="宋体" w:hAnsi="宋体" w:eastAsia="宋体" w:cs="宋体"/>
          <w:b/>
          <w:bCs/>
          <w:sz w:val="32"/>
          <w:szCs w:val="32"/>
        </w:rPr>
        <w:t>第五节 环境和社会责任</w:t>
      </w:r>
      <w:bookmarkEnd w:id="48"/>
    </w:p>
    <w:p>
      <w:pPr>
        <w:keepNext/>
        <w:keepLines/>
        <w:spacing w:before="300" w:after="300" w:line="320" w:lineRule="exact"/>
        <w:jc w:val="left"/>
        <w:outlineLvl w:val="1"/>
        <w:rPr>
          <w:rFonts w:ascii="宋体" w:hAnsi="宋体" w:eastAsia="宋体" w:cs="宋体"/>
          <w:b/>
          <w:bCs/>
          <w:sz w:val="24"/>
          <w:szCs w:val="24"/>
        </w:rPr>
      </w:pPr>
      <w:bookmarkStart w:id="49" w:name="_Toc988938"/>
      <w:r>
        <w:rPr>
          <w:rFonts w:ascii="宋体" w:hAnsi="宋体" w:eastAsia="宋体" w:cs="宋体"/>
          <w:b/>
          <w:bCs/>
          <w:sz w:val="24"/>
          <w:szCs w:val="24"/>
        </w:rPr>
        <w:t>一、重大环保问题情况</w:t>
      </w:r>
      <w:bookmarkEnd w:id="49"/>
    </w:p>
    <w:p>
      <w:pPr>
        <w:spacing w:before="40" w:after="40" w:line="240" w:lineRule="exact"/>
        <w:jc w:val="left"/>
        <w:rPr>
          <w:rFonts w:ascii="宋体" w:hAnsi="宋体" w:eastAsia="宋体" w:cs="宋体"/>
          <w:sz w:val="18"/>
          <w:szCs w:val="18"/>
        </w:rPr>
      </w:pPr>
      <w:r>
        <w:rPr>
          <w:rFonts w:ascii="宋体" w:hAnsi="宋体" w:eastAsia="宋体" w:cs="宋体"/>
          <w:sz w:val="18"/>
          <w:szCs w:val="18"/>
        </w:rPr>
        <w:t>上市公司及其子公司是否属于环境保护部门公布的重点排污单位</w:t>
      </w:r>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是 □否</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环境保护相关政策和行业标准</w:t>
      </w:r>
    </w:p>
    <w:p>
      <w:pPr>
        <w:pStyle w:val="5"/>
        <w:keepNext w:val="0"/>
        <w:keepLines w:val="0"/>
        <w:widowControl/>
        <w:suppressLineNumbers w:val="0"/>
        <w:spacing w:before="0" w:beforeAutospacing="0" w:after="0" w:afterAutospacing="0"/>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2024年上半年，公司严格落实《污水综合排放标准》《工业企业厂界环境噪声排放标准》《火电厂大气污染物排放标准》等国家生态环境保护法律法规，紧紧围绕上级单位生态环保“十条禁令”“二十条不准”，确保生态环保工作有序开展。</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环境保护行政许可情况</w:t>
      </w:r>
    </w:p>
    <w:p>
      <w:pPr>
        <w:pStyle w:val="5"/>
        <w:keepNext w:val="0"/>
        <w:keepLines w:val="0"/>
        <w:widowControl/>
        <w:suppressLineNumbers w:val="0"/>
        <w:spacing w:before="0" w:beforeAutospacing="0" w:after="0" w:afterAutospacing="0"/>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2024年上半年，公司建设项目严格按照环保有关法律法规要求，做好建设项目环境影响评价工作；公司内各火电企业全部取得排污许可证。</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行业排放标准及生产经营活动中涉及的污染物排放的具体情况</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公司或子公司名称</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主要污染物及特征污染物的种类</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主要污染物及特征污染物的名称</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排放方式</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排放口数量</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排放口分布情况</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排放浓度/强度</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执行的污染物排放标准</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排放总量</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核定的排放总量</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超标排放情况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吉林电力股份有限公司白城发电公司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烟尘</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有组织排放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1.14mg/Nm3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发改委、环保部、能源局下发《煤电节能减排升级与改造行动计划（2012-2020年）》通知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9.31t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959.57t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吉林电力股份有限公司白城发电公司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二氧化硫</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有组织排放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14.0mg/Nm3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发改委、环保部、能源局下发《煤电节能减排升级与改造行动计划（2012-2020年）》通知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123.1t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2359t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吉林电力股份有限公司白城发电公司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氮氧化物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有组织排放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36.82mg/Nm3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发改委、环保部、能源局下发《煤电节能减排升级与改造行动计划（2012-2020年）》通知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309.01t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3198.58t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吉林吉长电力有限公司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烟尘</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有组织排放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10.08mg/Nm3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GB13223-2011《火电厂大气污染物排放标准》</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16.7t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350.3t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吉林吉长电力有限公司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二氧化硫</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有组织排放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106.86mg/Nm3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GB13223-2011《火电厂大气污染物排放标准》</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172.975t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2334.6t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吉林吉长电力有限公司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氮氧化物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有组织排放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1、2号炉：164.67mg/Nm3；3号炉：82.7mg/Nm3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GB13223-2011《火电厂大气污染物排放标准》</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204.936t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1167.5t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四平第一热电公司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烟尘</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有组织排放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3.69mg/Nm3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发改委、环保部、能源局下发《煤电节能减排升级与改造行动计划（2012-2020年）》通知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10.184t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322t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四平第一热电公司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二氧化硫</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有组织排放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18.22mg/Nm3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发改委、环保部、能源局下发《煤电节能减排升级与改造行动计划（2012-2020年）》通知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57.84t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1712t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四平第一热电公司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氮氧化物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有组织排放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29.77mg/Nm3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发改委、环保部、能源局下发《煤电节能减排升级与改造行动计划（2012-2020年）》通知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94.449t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1073t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吉林松花江热电有限公司（#1、#2机组执行10标准）</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烟尘</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有组织排放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1.41mg/Nm3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《大气污染物综合排放标准》（GB 16297-1996）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2.42t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269.32t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吉林松花江热电有限公司（#1、#2机组执行35标准）</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二氧化硫</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有组织排放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16.82mg/Nm3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《大气污染物综合排放标准》（GB 16297-1996）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26.8t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1795.49t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吉林松花江热电有限公司（#1、#2机组执行50标准）</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氮氧化物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有组织排放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35.57mg/Nm3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《大气污染物综合排放标准》（GB 16297-1996）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60.6t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1795.49t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吉林松花江热电有限公司（#6、#7、#8机组执行10标准）</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烟尘</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有组织排放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0.9mg/Nm3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《大气污染物综合排放标准》（GB 16297-1996）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2.85t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114.75t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吉林松花江热电有限公司（#6、#7、#8机组执行35标准）</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二氧化硫</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有组织排放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6.99mg/Nm3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《大气污染物综合排放标准》（GB 16297-1996）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12.14t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382.48t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吉林松花江热电有限公司（#6、#7、#8机组执行50标准）</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氮氧化物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有组织排放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38.67mg/Nm3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《大气污染物综合排放标准》（GB 16297-1996）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127.71t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382.48t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吉林电力股份有限公司松花江第一热电分公司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烟尘</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有组织排放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1.72mg/Nm3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《大气污染物综合排放标准》（GB 16297-1996）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5.01t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274.86t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吉林电力股份有限公司松花江第一热电分公司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二氧化硫</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有组织排放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15.92mg/Nm3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《大气污染物综合排放标准》（GB 16297-1996）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48.38t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1832.39t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吉林电力股份有限公司松花江第一热电分公司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氮氧化物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有组织排放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34.75mg/Nm3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《大气污染物综合排放标准》（GB 16297-1996）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103.3t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916.2t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吉林电力股份有限公司长春热电分公司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烟尘</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有组织排放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0.870mg/Nm3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6.22t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351.4t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吉林电力股份有限公司长春热电分公司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二氧化硫</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有组织排放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13.976mg/Nm3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91.549t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878.6t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吉林电力股份有限公司长春热电分公司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氮氧化物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有组织排放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27.789mg/Nm3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118.398t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1296t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对污染物的处理</w:t>
      </w:r>
    </w:p>
    <w:p>
      <w:pPr>
        <w:pStyle w:val="5"/>
        <w:keepNext w:val="0"/>
        <w:keepLines w:val="0"/>
        <w:widowControl/>
        <w:suppressLineNumbers w:val="0"/>
        <w:spacing w:before="0" w:beforeAutospacing="0" w:after="0" w:afterAutospacing="0"/>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公司各发电企业由于机组等级、机组参数、施工场地等不同，所用污染物处理技术也有所不同，主流工艺为石灰石湿法脱硫+SCR脱硝+电除尘（布袋除尘），现阶段湿式除尘器系统、脱硫系统、脱硝系统均正常运行，运行情况良好，烟尘浓度、SO2浓度、NOx浓度均满足超低排放要求。</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突发环境事件应急预案</w:t>
      </w:r>
    </w:p>
    <w:p>
      <w:pPr>
        <w:pStyle w:val="5"/>
        <w:keepNext w:val="0"/>
        <w:keepLines w:val="0"/>
        <w:widowControl/>
        <w:suppressLineNumbers w:val="0"/>
        <w:spacing w:before="0" w:beforeAutospacing="0" w:after="0" w:afterAutospacing="0"/>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公司各发电企业为确保电力、供热的可靠供应，防范突发环境事件，均制定了相应的应急预案和处置措施。</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环境治理和保护的投入及缴纳环境保护税的相关情况</w:t>
      </w:r>
    </w:p>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1"/>
          <w:szCs w:val="21"/>
        </w:rPr>
        <w:t> 公司各发电企业均按规定完成环境治理和保护的投入，及时缴纳环境保护税。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环境自行监测方案</w:t>
      </w:r>
    </w:p>
    <w:p>
      <w:pPr>
        <w:pStyle w:val="5"/>
        <w:keepNext w:val="0"/>
        <w:keepLines w:val="0"/>
        <w:widowControl/>
        <w:suppressLineNumbers w:val="0"/>
        <w:spacing w:before="0" w:beforeAutospacing="0" w:after="0" w:afterAutospacing="0"/>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公司各发电企业已经编制环境自行监测方案。</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报告期内因环境问题受到行政处罚的情况</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公司或子公司名称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处罚原因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违规情形</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处罚结果</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对上市公司生产经营的影响</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公司的整改措施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无</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无</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无</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无</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无</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无</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其他应当公开的环境信息</w:t>
      </w:r>
    </w:p>
    <w:p>
      <w:pPr>
        <w:pStyle w:val="5"/>
        <w:keepNext w:val="0"/>
        <w:keepLines w:val="0"/>
        <w:widowControl/>
        <w:suppressLineNumbers w:val="0"/>
      </w:pPr>
      <w:r>
        <w:rPr>
          <w:rFonts w:hint="eastAsia" w:ascii="宋体" w:hAnsi="宋体" w:eastAsia="宋体" w:cs="宋体"/>
          <w:sz w:val="18"/>
          <w:szCs w:val="18"/>
        </w:rPr>
        <w:t>无</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在报告期内为减少其碳排放所采取的措施及效果</w:t>
      </w:r>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pStyle w:val="5"/>
        <w:keepNext w:val="0"/>
        <w:keepLines w:val="0"/>
        <w:widowControl/>
        <w:suppressLineNumbers w:val="0"/>
        <w:spacing w:before="0" w:beforeAutospacing="0" w:after="0" w:afterAutospacing="0"/>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公司各发电企业严格落实国家、地方生态环境保护部门要求，按期开展第三方碳排放核查工作。</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其他环保相关信息</w:t>
      </w:r>
    </w:p>
    <w:p>
      <w:pPr>
        <w:pStyle w:val="5"/>
        <w:keepNext w:val="0"/>
        <w:keepLines w:val="0"/>
        <w:widowControl/>
        <w:suppressLineNumbers w:val="0"/>
      </w:pPr>
      <w:r>
        <w:rPr>
          <w:rFonts w:hint="eastAsia" w:ascii="宋体" w:hAnsi="宋体" w:eastAsia="宋体" w:cs="宋体"/>
          <w:sz w:val="18"/>
          <w:szCs w:val="18"/>
        </w:rPr>
        <w:t>无</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公司需遵守《深圳证券交易所上市公司自律监管指引第3号——行业信息披露》中的“电力供应业”的披露要求</w:t>
      </w:r>
    </w:p>
    <w:p>
      <w:pPr>
        <w:pStyle w:val="5"/>
        <w:keepNext w:val="0"/>
        <w:keepLines w:val="0"/>
        <w:widowControl/>
        <w:suppressLineNumbers w:val="0"/>
        <w:spacing w:before="0" w:beforeAutospacing="0" w:after="0" w:afterAutospacing="0"/>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2024年公司各火力发电企业上半年完成供电煤耗270.75克/千瓦时，脱硫设备投运率100%，二氧化硫排放量532.83吨，氮氧化物排放量1092吨，烟尘排放量52.7吨。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上市公司发生环境事故的相关情况</w:t>
      </w:r>
    </w:p>
    <w:p>
      <w:pPr>
        <w:pStyle w:val="5"/>
        <w:keepNext w:val="0"/>
        <w:keepLines w:val="0"/>
        <w:widowControl/>
        <w:suppressLineNumbers w:val="0"/>
        <w:spacing w:before="0" w:beforeAutospacing="0" w:after="0" w:afterAutospacing="0"/>
        <w:ind w:left="0" w:right="0" w:firstLine="420"/>
        <w:jc w:val="left"/>
        <w:rPr>
          <w:rFonts w:hint="default" w:ascii="Times New Roman" w:hAnsi="Times New Roman" w:cs="Times New Roman"/>
          <w:sz w:val="24"/>
          <w:szCs w:val="24"/>
        </w:rPr>
      </w:pPr>
      <w:r>
        <w:rPr>
          <w:rFonts w:hint="eastAsia" w:ascii="宋体" w:hAnsi="宋体" w:eastAsia="宋体" w:cs="宋体"/>
          <w:sz w:val="21"/>
          <w:szCs w:val="21"/>
        </w:rPr>
        <w:t>公司及所管企业未发生突发环境事故。</w:t>
      </w:r>
    </w:p>
    <w:p>
      <w:pPr>
        <w:keepNext/>
        <w:keepLines/>
        <w:spacing w:before="300" w:after="300" w:line="320" w:lineRule="exact"/>
        <w:jc w:val="left"/>
        <w:outlineLvl w:val="1"/>
        <w:rPr>
          <w:rFonts w:ascii="宋体" w:hAnsi="宋体" w:eastAsia="宋体" w:cs="宋体"/>
          <w:b/>
          <w:bCs/>
          <w:sz w:val="24"/>
          <w:szCs w:val="24"/>
        </w:rPr>
      </w:pPr>
      <w:bookmarkStart w:id="50" w:name="_Toc988939"/>
      <w:r>
        <w:rPr>
          <w:rFonts w:ascii="宋体" w:hAnsi="宋体" w:eastAsia="宋体" w:cs="宋体"/>
          <w:b/>
          <w:bCs/>
          <w:sz w:val="24"/>
          <w:szCs w:val="24"/>
        </w:rPr>
        <w:t>二、社会责任情况</w:t>
      </w:r>
      <w:bookmarkEnd w:id="50"/>
    </w:p>
    <w:p>
      <w:pPr>
        <w:pStyle w:val="5"/>
        <w:keepNext w:val="0"/>
        <w:keepLines w:val="0"/>
        <w:widowControl/>
        <w:suppressLineNumbers w:val="0"/>
        <w:spacing w:before="93" w:beforeAutospacing="0" w:after="93" w:afterAutospacing="0"/>
        <w:ind w:left="0" w:right="0" w:firstLine="420"/>
        <w:jc w:val="left"/>
        <w:rPr>
          <w:rFonts w:hint="default" w:ascii="Times New Roman" w:hAnsi="Times New Roman" w:cs="Times New Roman"/>
          <w:sz w:val="24"/>
          <w:szCs w:val="24"/>
        </w:rPr>
      </w:pPr>
      <w:r>
        <w:rPr>
          <w:rFonts w:hint="eastAsia" w:ascii="宋体" w:hAnsi="宋体" w:eastAsia="宋体" w:cs="宋体"/>
          <w:sz w:val="21"/>
          <w:szCs w:val="21"/>
        </w:rPr>
        <w:t>1.履行社会责任情况</w:t>
      </w:r>
    </w:p>
    <w:p>
      <w:pPr>
        <w:pStyle w:val="5"/>
        <w:keepNext w:val="0"/>
        <w:keepLines w:val="0"/>
        <w:widowControl/>
        <w:suppressLineNumbers w:val="0"/>
        <w:spacing w:before="0" w:beforeAutospacing="0" w:after="0" w:afterAutospacing="0"/>
        <w:ind w:left="0" w:right="0" w:firstLine="420"/>
        <w:jc w:val="left"/>
        <w:rPr>
          <w:rFonts w:hint="default" w:ascii="Times New Roman" w:hAnsi="Times New Roman" w:cs="Times New Roman"/>
          <w:sz w:val="24"/>
          <w:szCs w:val="24"/>
        </w:rPr>
      </w:pPr>
      <w:r>
        <w:rPr>
          <w:rFonts w:hint="eastAsia" w:ascii="宋体" w:hAnsi="宋体" w:eastAsia="宋体" w:cs="宋体"/>
          <w:color w:val="000000"/>
          <w:sz w:val="21"/>
          <w:szCs w:val="21"/>
        </w:rPr>
        <w:t xml:space="preserve">(1)公司遵守国家环保法规，承担环保责任，推进科技创新，大力发展风电、光伏等清洁能源项目，加大火电机组超低排放改造力度；公司所涉及的火电企业环保设施运行正常，全部实现环保达标排放。 </w:t>
      </w:r>
    </w:p>
    <w:p>
      <w:pPr>
        <w:pStyle w:val="5"/>
        <w:keepNext w:val="0"/>
        <w:keepLines w:val="0"/>
        <w:widowControl/>
        <w:suppressLineNumbers w:val="0"/>
        <w:spacing w:before="0" w:beforeAutospacing="0" w:after="0" w:afterAutospacing="0"/>
        <w:ind w:left="0" w:right="0" w:firstLine="420"/>
        <w:jc w:val="left"/>
        <w:rPr>
          <w:rFonts w:hint="default" w:ascii="Times New Roman" w:hAnsi="Times New Roman" w:cs="Times New Roman"/>
          <w:sz w:val="24"/>
          <w:szCs w:val="24"/>
        </w:rPr>
      </w:pPr>
      <w:r>
        <w:rPr>
          <w:rFonts w:hint="eastAsia" w:ascii="宋体" w:hAnsi="宋体" w:eastAsia="宋体" w:cs="宋体"/>
          <w:color w:val="000000"/>
          <w:sz w:val="21"/>
          <w:szCs w:val="21"/>
        </w:rPr>
        <w:t xml:space="preserve">(2)本公司严格执行《中华人民共和国劳动合同法》和有关劳动法律法规等用工制度、劳动保护制度、社会保障制度和医疗保障制度，按照国家及当地主管部门的规定、要求，为企业员工缴纳医疗保险金、养老保险金、失业保险金、工伤保险金、生育保险金和住房公积金。本公司切实保护员工的各项权益，努力提升企业的凝聚力，实现员工与企业健康、和谐发展。 </w:t>
      </w:r>
    </w:p>
    <w:p>
      <w:pPr>
        <w:pStyle w:val="5"/>
        <w:keepNext w:val="0"/>
        <w:keepLines w:val="0"/>
        <w:widowControl/>
        <w:suppressLineNumbers w:val="0"/>
        <w:spacing w:before="0" w:beforeAutospacing="0" w:after="0" w:afterAutospacing="0"/>
        <w:ind w:left="0" w:right="0" w:firstLine="420"/>
        <w:jc w:val="left"/>
        <w:rPr>
          <w:rFonts w:hint="default" w:ascii="Times New Roman" w:hAnsi="Times New Roman" w:cs="Times New Roman"/>
          <w:sz w:val="24"/>
          <w:szCs w:val="24"/>
        </w:rPr>
      </w:pPr>
      <w:r>
        <w:rPr>
          <w:rFonts w:hint="eastAsia" w:ascii="宋体" w:hAnsi="宋体" w:eastAsia="宋体" w:cs="宋体"/>
          <w:color w:val="000000"/>
          <w:sz w:val="21"/>
          <w:szCs w:val="21"/>
        </w:rPr>
        <w:t>(3)本公司严格按照《公司章程》《股东大会议事规则》的规定和要求，通过网络平台等合法有效的方式，让更多的股东参加股东大会。股东大会的召集、召开、表决程序规范，保证了股东对公司重大事项的知情权、参与权和表决权；认真履行信息披露义务，秉承公平、公正、公开的原则对待全体投资者。</w:t>
      </w:r>
    </w:p>
    <w:p>
      <w:pPr>
        <w:pStyle w:val="5"/>
        <w:keepNext w:val="0"/>
        <w:keepLines w:val="0"/>
        <w:widowControl/>
        <w:suppressLineNumbers w:val="0"/>
        <w:spacing w:before="0" w:beforeAutospacing="0" w:after="0" w:afterAutospacing="0"/>
        <w:ind w:left="0" w:right="0" w:firstLine="420"/>
        <w:jc w:val="left"/>
        <w:rPr>
          <w:rFonts w:hint="default" w:ascii="Times New Roman" w:hAnsi="Times New Roman" w:cs="Times New Roman"/>
          <w:sz w:val="24"/>
          <w:szCs w:val="24"/>
        </w:rPr>
      </w:pPr>
      <w:r>
        <w:rPr>
          <w:rFonts w:hint="eastAsia" w:ascii="宋体" w:hAnsi="宋体" w:eastAsia="宋体" w:cs="宋体"/>
          <w:color w:val="000000"/>
          <w:sz w:val="21"/>
          <w:szCs w:val="21"/>
        </w:rPr>
        <w:t xml:space="preserve">本公司依据《投资者关系管理规定》加强投资者关系管理，明确公司董事会秘书负责组织实施投资者关系管理工作。报告期内，公司通过回复投资者关系互动平台提问、专人进行电话接听、现场接待等方式，加强与投资者走访与沟通，共同推动公司持续、健康发展。 </w:t>
      </w:r>
    </w:p>
    <w:p>
      <w:pPr>
        <w:pStyle w:val="5"/>
        <w:keepNext w:val="0"/>
        <w:keepLines w:val="0"/>
        <w:widowControl/>
        <w:suppressLineNumbers w:val="0"/>
        <w:spacing w:before="0" w:beforeAutospacing="0" w:after="0" w:afterAutospacing="0"/>
        <w:ind w:left="0" w:right="0" w:firstLine="420"/>
        <w:jc w:val="left"/>
        <w:rPr>
          <w:rFonts w:hint="default" w:ascii="Times New Roman" w:hAnsi="Times New Roman" w:cs="Times New Roman"/>
          <w:sz w:val="24"/>
          <w:szCs w:val="24"/>
        </w:rPr>
      </w:pPr>
      <w:r>
        <w:rPr>
          <w:rFonts w:hint="eastAsia" w:ascii="宋体" w:hAnsi="宋体" w:eastAsia="宋体" w:cs="宋体"/>
          <w:color w:val="000000"/>
          <w:sz w:val="21"/>
          <w:szCs w:val="21"/>
        </w:rPr>
        <w:t>(4)公司全力提升供热板块经营能力，形成了科学合理的供热体系，供热管理水平逐步提高。公司供热设备生产运行可靠，连续多年未发生中断供热事件，供热稳定性获得了地方政府和社会公众的广泛认可。</w:t>
      </w:r>
    </w:p>
    <w:p>
      <w:pPr>
        <w:pStyle w:val="5"/>
        <w:keepNext w:val="0"/>
        <w:keepLines w:val="0"/>
        <w:widowControl/>
        <w:suppressLineNumbers w:val="0"/>
        <w:spacing w:before="0" w:beforeAutospacing="0" w:after="0" w:afterAutospacing="0"/>
        <w:ind w:left="0" w:right="0" w:firstLine="420"/>
        <w:jc w:val="left"/>
        <w:rPr>
          <w:rFonts w:hint="default" w:ascii="Times New Roman" w:hAnsi="Times New Roman" w:cs="Times New Roman"/>
          <w:sz w:val="24"/>
          <w:szCs w:val="24"/>
        </w:rPr>
      </w:pPr>
      <w:r>
        <w:rPr>
          <w:rFonts w:hint="eastAsia" w:ascii="宋体" w:hAnsi="宋体" w:eastAsia="宋体" w:cs="宋体"/>
          <w:color w:val="000000"/>
          <w:sz w:val="21"/>
          <w:szCs w:val="21"/>
        </w:rPr>
        <w:t>2.履行社会精准扶贫社会责任</w:t>
      </w:r>
    </w:p>
    <w:p>
      <w:pPr>
        <w:pStyle w:val="5"/>
        <w:keepNext w:val="0"/>
        <w:keepLines w:val="0"/>
        <w:widowControl/>
        <w:suppressLineNumbers w:val="0"/>
        <w:spacing w:before="0" w:beforeAutospacing="0" w:after="0" w:afterAutospacing="0"/>
        <w:ind w:left="0" w:right="0" w:firstLine="420"/>
        <w:jc w:val="left"/>
        <w:rPr>
          <w:rFonts w:hint="default" w:ascii="Times New Roman" w:hAnsi="Times New Roman" w:cs="Times New Roman"/>
          <w:sz w:val="24"/>
          <w:szCs w:val="24"/>
        </w:rPr>
      </w:pPr>
      <w:r>
        <w:rPr>
          <w:rFonts w:hint="eastAsia" w:ascii="宋体" w:hAnsi="宋体" w:eastAsia="宋体" w:cs="宋体"/>
          <w:color w:val="000000"/>
          <w:sz w:val="21"/>
          <w:szCs w:val="21"/>
        </w:rPr>
        <w:t>贯彻落实吉林省委、省政府工作部署，将促进区域产业发展同公司业务拓展相结合，连续多年向白城、延边等地区开展对口帮扶、爱心助学等行动，助力巩固脱贫成果。响应吉林省推进新能源乡村振兴工程政策要求，在蛟河、图们、汪清等地开发新能源乡村振兴项目，项目发电收益全部用于提升地方村集体经济收入。通过加强党建引领、促进产业兴旺、建设宜居乡村等多种形式的帮扶措施，扎实推进兴边富民行动。</w:t>
      </w:r>
    </w:p>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color w:val="000000"/>
          <w:sz w:val="21"/>
          <w:szCs w:val="21"/>
        </w:rPr>
        <w:t> </w:t>
      </w:r>
    </w:p>
    <w:p>
      <w:r>
        <w:br w:type="page"/>
      </w:r>
    </w:p>
    <w:p>
      <w:pPr>
        <w:keepNext/>
        <w:keepLines/>
        <w:spacing w:before="340" w:after="330" w:line="773" w:lineRule="exact"/>
        <w:jc w:val="center"/>
        <w:outlineLvl w:val="0"/>
        <w:rPr>
          <w:rFonts w:ascii="宋体" w:hAnsi="宋体" w:eastAsia="宋体" w:cs="宋体"/>
          <w:b/>
          <w:bCs/>
          <w:sz w:val="32"/>
          <w:szCs w:val="32"/>
        </w:rPr>
      </w:pPr>
      <w:bookmarkStart w:id="51" w:name="_Toc988940"/>
      <w:r>
        <w:rPr>
          <w:rFonts w:ascii="宋体" w:hAnsi="宋体" w:eastAsia="宋体" w:cs="宋体"/>
          <w:b/>
          <w:bCs/>
          <w:sz w:val="32"/>
          <w:szCs w:val="32"/>
        </w:rPr>
        <w:t>第六节 重要事项</w:t>
      </w:r>
      <w:bookmarkEnd w:id="51"/>
    </w:p>
    <w:p>
      <w:pPr>
        <w:keepNext/>
        <w:keepLines/>
        <w:spacing w:before="300" w:after="300" w:line="320" w:lineRule="exact"/>
        <w:jc w:val="left"/>
        <w:outlineLvl w:val="1"/>
        <w:rPr>
          <w:rFonts w:ascii="宋体" w:hAnsi="宋体" w:eastAsia="宋体" w:cs="宋体"/>
          <w:b/>
          <w:bCs/>
          <w:sz w:val="24"/>
          <w:szCs w:val="24"/>
        </w:rPr>
      </w:pPr>
      <w:bookmarkStart w:id="52" w:name="_Toc988941"/>
      <w:r>
        <w:rPr>
          <w:rFonts w:ascii="宋体" w:hAnsi="宋体" w:eastAsia="宋体" w:cs="宋体"/>
          <w:b/>
          <w:bCs/>
          <w:sz w:val="24"/>
          <w:szCs w:val="24"/>
        </w:rPr>
        <w:t>一、公司实际控制人、股东、关联方、收购人以及公司等承诺相关方在报告期内履行完毕及截至报告期末超期未履行完毕的承诺事项</w:t>
      </w:r>
      <w:bookmarkEnd w:id="52"/>
    </w:p>
    <w:tbl>
      <w:tblPr>
        <w:tblStyle w:val="6"/>
        <w:tblpPr w:leftFromText="180" w:rightFromText="180" w:vertAnchor="text" w:horzAnchor="page" w:tblpX="1133" w:tblpY="268"/>
        <w:tblOverlap w:val="never"/>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承诺事由</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承诺方</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承诺类型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承诺内容</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承诺时间</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承诺期限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履行情况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首次公开发行或再融资时所作承诺</w:t>
            </w:r>
          </w:p>
          <w:p>
            <w:pPr>
              <w:spacing w:before="40" w:after="40" w:line="240" w:lineRule="exact"/>
              <w:jc w:val="lef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吉林能投、财务公司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关联方不转让或者委托他人管理股票的承诺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自吉电股份本次非公开发行股票发行结束之日（即新增股份上市首日）起36个月内，不转让或者委托他人管理本企业本次认购的吉电股份股票，也不由吉电股份回购该部分股份。</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2021年03月12日</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2021年4月13日至2024年4月12日</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履行完毕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left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吉林能投</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股份限售承诺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本次发行股票自新增股份上市首日起36个月内不得转让。</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2022年12月31日</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自股份上市之日起36个月</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正在履行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left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吉林能投</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其他承诺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自吉电股份董事会首次审议本次向特定对象发行股票方案之日（即2022年12月30日）前六个月至本承诺函出具之日，本公司不存在减持所持吉电股份股票的情况。2、自本承诺函出具之日起至本次向特定对象发行股票完成后六个月内，本公司不减持所持的吉电股份股票。3、本公司若违反上述承诺而发生减持情况，因减持所得的全部收益归吉电股份所有，并将依法承担由此产生的法律责任。</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2023年05月13日</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承诺函出具之日起至发行股票完成后六个月内</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正在履行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eastAsia" w:ascii="宋体" w:hAnsi="宋体" w:eastAsia="宋体" w:cs="宋体"/>
                <w:sz w:val="18"/>
                <w:szCs w:val="18"/>
                <w:lang w:eastAsia="zh-CN"/>
              </w:rPr>
            </w:pPr>
            <w:r>
              <w:rPr>
                <w:rFonts w:hint="eastAsia" w:ascii="宋体" w:hAnsi="宋体" w:cs="宋体"/>
                <w:sz w:val="18"/>
                <w:szCs w:val="18"/>
                <w:lang w:eastAsia="zh-CN"/>
              </w:rPr>
              <w:t>国家电投、吉林能投</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hint="eastAsia" w:ascii="宋体" w:hAnsi="宋体" w:eastAsia="宋体" w:cs="宋体"/>
                <w:sz w:val="18"/>
                <w:szCs w:val="18"/>
              </w:rPr>
              <w:t>避免同业竞争</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eastAsia" w:ascii="仿宋" w:hAnsi="仿宋" w:eastAsia="仿宋" w:cs="仿宋"/>
                <w:sz w:val="28"/>
                <w:szCs w:val="28"/>
              </w:rPr>
            </w:pPr>
            <w:r>
              <w:rPr>
                <w:rFonts w:hint="eastAsia" w:ascii="宋体" w:hAnsi="宋体" w:eastAsia="宋体" w:cs="宋体"/>
                <w:sz w:val="18"/>
                <w:szCs w:val="18"/>
                <w:lang w:val="en-US" w:eastAsia="zh-CN"/>
              </w:rPr>
              <w:t>1、</w:t>
            </w:r>
            <w:r>
              <w:rPr>
                <w:rFonts w:hint="eastAsia" w:ascii="宋体" w:hAnsi="宋体" w:eastAsia="宋体" w:cs="宋体"/>
                <w:sz w:val="18"/>
                <w:szCs w:val="18"/>
                <w:lang w:eastAsia="zh-CN"/>
              </w:rPr>
              <w:t>国家电投承诺：</w:t>
            </w:r>
            <w:r>
              <w:rPr>
                <w:rFonts w:hint="eastAsia" w:ascii="宋体" w:hAnsi="宋体" w:eastAsia="宋体" w:cs="宋体"/>
                <w:sz w:val="18"/>
                <w:szCs w:val="18"/>
                <w:lang w:val="en-US" w:eastAsia="zh-CN"/>
              </w:rPr>
              <w:t>国家电投及所控制的公司在吉林省区域投资开发任何火电等常规发电业务，均由吉电股份及其控制的公司作为投资开发主体。除吉电股份外，国家电投及所控制的其他公司未来不会在吉林省区域拓展常规发电业务。如因任何原因导致国家电投及所控制的其他公司在吉林省区域取得与吉电股份构成同业竞争的业务或业务机会的，国家电投将第一时间通知吉电股份，由其行使该等业务开发的优先选择权。2、吉林能投承诺：吉林能投及所控制的公司在吉林省区域投资开发任何火电等常规发电业务，均由吉电股份及其控制的公司作为投资开发主体。除吉电股份外，吉林能投及所控制的其他公司未来不会在吉林省区域拓展常规发电业务。如因任何原因导致吉林能投及所控制的其他公司取得与吉电股份构成同业竞争的业务或业务机会的，吉林能投将第一时间通知吉电股份，由其行使该等业务开发的优先选择权。</w:t>
            </w:r>
          </w:p>
          <w:p>
            <w:pPr>
              <w:spacing w:before="0" w:after="0" w:line="240" w:lineRule="exact"/>
              <w:jc w:val="left"/>
              <w:rPr>
                <w:rFonts w:hint="default" w:ascii="宋体" w:hAnsi="宋体" w:eastAsia="宋体" w:cs="宋体"/>
                <w:sz w:val="18"/>
                <w:szCs w:val="18"/>
                <w:lang w:val="en-US"/>
              </w:rPr>
            </w:pPr>
          </w:p>
          <w:p>
            <w:pPr>
              <w:spacing w:before="0" w:after="0" w:line="240" w:lineRule="exact"/>
              <w:jc w:val="left"/>
              <w:rPr>
                <w:rFonts w:hint="eastAsia" w:ascii="宋体" w:hAnsi="宋体" w:eastAsia="宋体" w:cs="宋体"/>
                <w:sz w:val="18"/>
                <w:szCs w:val="18"/>
                <w:lang w:eastAsia="zh-CN"/>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w:t>
            </w:r>
            <w:r>
              <w:rPr>
                <w:rFonts w:hint="eastAsia" w:ascii="宋体" w:hAnsi="宋体" w:cs="宋体"/>
                <w:sz w:val="18"/>
                <w:szCs w:val="18"/>
                <w:lang w:val="en-US" w:eastAsia="zh-CN"/>
              </w:rPr>
              <w:t>7</w:t>
            </w:r>
            <w:r>
              <w:rPr>
                <w:rFonts w:ascii="宋体" w:hAnsi="宋体" w:eastAsia="宋体" w:cs="宋体"/>
                <w:sz w:val="18"/>
                <w:szCs w:val="18"/>
              </w:rPr>
              <w:t>月</w:t>
            </w:r>
            <w:r>
              <w:rPr>
                <w:rFonts w:hint="eastAsia" w:ascii="宋体" w:hAnsi="宋体" w:cs="宋体"/>
                <w:sz w:val="18"/>
                <w:szCs w:val="18"/>
                <w:lang w:val="en-US" w:eastAsia="zh-CN"/>
              </w:rPr>
              <w:t>07</w:t>
            </w:r>
            <w:r>
              <w:rPr>
                <w:rFonts w:ascii="宋体" w:hAnsi="宋体" w:eastAsia="宋体" w:cs="宋体"/>
                <w:sz w:val="18"/>
                <w:szCs w:val="18"/>
              </w:rPr>
              <w:t>日</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eastAsia" w:ascii="宋体" w:hAnsi="宋体" w:eastAsia="宋体" w:cs="宋体"/>
                <w:sz w:val="18"/>
                <w:szCs w:val="18"/>
                <w:lang w:eastAsia="zh-CN"/>
              </w:rPr>
            </w:pPr>
            <w:r>
              <w:rPr>
                <w:rFonts w:hint="eastAsia" w:ascii="宋体" w:hAnsi="宋体" w:cs="宋体"/>
                <w:sz w:val="18"/>
                <w:szCs w:val="18"/>
                <w:lang w:eastAsia="zh-CN"/>
              </w:rPr>
              <w:t>长期</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正在履行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承诺是否按时履行</w:t>
            </w:r>
          </w:p>
        </w:tc>
        <w:tc>
          <w:tcPr>
            <w:tcW w:w="8262" w:type="dxa"/>
            <w:gridSpan w:val="6"/>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如承诺超期未履行完毕的，应当详细说明未完成履行的具体原因及下一步的工作计划</w:t>
            </w:r>
          </w:p>
        </w:tc>
        <w:tc>
          <w:tcPr>
            <w:tcW w:w="8262" w:type="dxa"/>
            <w:gridSpan w:val="6"/>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bl>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keepNext/>
        <w:keepLines/>
        <w:spacing w:before="300" w:after="300" w:line="320" w:lineRule="exact"/>
        <w:jc w:val="left"/>
        <w:outlineLvl w:val="1"/>
        <w:rPr>
          <w:rFonts w:ascii="宋体" w:hAnsi="宋体" w:eastAsia="宋体" w:cs="宋体"/>
          <w:b/>
          <w:bCs/>
          <w:sz w:val="24"/>
          <w:szCs w:val="24"/>
        </w:rPr>
      </w:pPr>
      <w:bookmarkStart w:id="53" w:name="_Toc988942"/>
      <w:r>
        <w:rPr>
          <w:rFonts w:ascii="宋体" w:hAnsi="宋体" w:eastAsia="宋体" w:cs="宋体"/>
          <w:b/>
          <w:bCs/>
          <w:sz w:val="24"/>
          <w:szCs w:val="24"/>
        </w:rPr>
        <w:t>二、控股股东及其他关联方对上市公司的非经营性占用资金情况</w:t>
      </w:r>
      <w:bookmarkEnd w:id="53"/>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公司报告期不存在控股股东及其他关联方对上市公司的非经营性占用资金。</w:t>
      </w:r>
    </w:p>
    <w:p>
      <w:pPr>
        <w:keepNext/>
        <w:keepLines/>
        <w:spacing w:before="300" w:after="300" w:line="320" w:lineRule="exact"/>
        <w:jc w:val="left"/>
        <w:outlineLvl w:val="1"/>
        <w:rPr>
          <w:rFonts w:ascii="宋体" w:hAnsi="宋体" w:eastAsia="宋体" w:cs="宋体"/>
          <w:b/>
          <w:bCs/>
          <w:sz w:val="24"/>
          <w:szCs w:val="24"/>
        </w:rPr>
      </w:pPr>
      <w:bookmarkStart w:id="54" w:name="_Toc988943"/>
      <w:r>
        <w:rPr>
          <w:rFonts w:ascii="宋体" w:hAnsi="宋体" w:eastAsia="宋体" w:cs="宋体"/>
          <w:b/>
          <w:bCs/>
          <w:sz w:val="24"/>
          <w:szCs w:val="24"/>
        </w:rPr>
        <w:t>三、违规对外担保情况</w:t>
      </w:r>
      <w:bookmarkEnd w:id="54"/>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公司报告期无违规对外担保情况。</w:t>
      </w:r>
    </w:p>
    <w:p>
      <w:pPr>
        <w:keepNext/>
        <w:keepLines/>
        <w:spacing w:before="300" w:after="300" w:line="320" w:lineRule="exact"/>
        <w:jc w:val="left"/>
        <w:outlineLvl w:val="1"/>
        <w:rPr>
          <w:rFonts w:ascii="宋体" w:hAnsi="宋体" w:eastAsia="宋体" w:cs="宋体"/>
          <w:b/>
          <w:bCs/>
          <w:sz w:val="24"/>
          <w:szCs w:val="24"/>
        </w:rPr>
      </w:pPr>
      <w:bookmarkStart w:id="55" w:name="_Toc988944"/>
      <w:r>
        <w:rPr>
          <w:rFonts w:ascii="宋体" w:hAnsi="宋体" w:eastAsia="宋体" w:cs="宋体"/>
          <w:b/>
          <w:bCs/>
          <w:sz w:val="24"/>
          <w:szCs w:val="24"/>
        </w:rPr>
        <w:t>四、聘任、解聘会计师事务所情况</w:t>
      </w:r>
      <w:bookmarkEnd w:id="55"/>
    </w:p>
    <w:p>
      <w:pPr>
        <w:spacing w:before="100" w:after="100" w:line="240" w:lineRule="exact"/>
        <w:jc w:val="left"/>
        <w:rPr>
          <w:rFonts w:ascii="宋体" w:hAnsi="宋体" w:eastAsia="宋体" w:cs="宋体"/>
          <w:sz w:val="18"/>
          <w:szCs w:val="18"/>
        </w:rPr>
      </w:pPr>
      <w:r>
        <w:rPr>
          <w:rFonts w:ascii="宋体" w:hAnsi="宋体" w:eastAsia="宋体" w:cs="宋体"/>
          <w:sz w:val="18"/>
          <w:szCs w:val="18"/>
        </w:rPr>
        <w:t>半年度财务报告是否已经审计</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公司半年度报告未经审计。</w:t>
      </w:r>
    </w:p>
    <w:p>
      <w:pPr>
        <w:keepNext/>
        <w:keepLines/>
        <w:spacing w:before="300" w:after="300" w:line="320" w:lineRule="exact"/>
        <w:jc w:val="left"/>
        <w:outlineLvl w:val="1"/>
        <w:rPr>
          <w:rFonts w:ascii="宋体" w:hAnsi="宋体" w:eastAsia="宋体" w:cs="宋体"/>
          <w:b/>
          <w:bCs/>
          <w:sz w:val="24"/>
          <w:szCs w:val="24"/>
        </w:rPr>
      </w:pPr>
      <w:bookmarkStart w:id="56" w:name="_Toc988945"/>
      <w:r>
        <w:rPr>
          <w:rFonts w:ascii="宋体" w:hAnsi="宋体" w:eastAsia="宋体" w:cs="宋体"/>
          <w:b/>
          <w:bCs/>
          <w:sz w:val="24"/>
          <w:szCs w:val="24"/>
        </w:rPr>
        <w:t>五、董事会、监事会对会计师事务所本报告期“非标准审计报告”的说明</w:t>
      </w:r>
      <w:bookmarkEnd w:id="56"/>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57" w:name="_Toc988946"/>
      <w:r>
        <w:rPr>
          <w:rFonts w:ascii="宋体" w:hAnsi="宋体" w:eastAsia="宋体" w:cs="宋体"/>
          <w:b/>
          <w:bCs/>
          <w:sz w:val="24"/>
          <w:szCs w:val="24"/>
        </w:rPr>
        <w:t>六、董事会对上年度“非标准审计报告”相关情况的说明</w:t>
      </w:r>
      <w:bookmarkEnd w:id="57"/>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58" w:name="_Toc988947"/>
      <w:r>
        <w:rPr>
          <w:rFonts w:ascii="宋体" w:hAnsi="宋体" w:eastAsia="宋体" w:cs="宋体"/>
          <w:b/>
          <w:bCs/>
          <w:sz w:val="24"/>
          <w:szCs w:val="24"/>
        </w:rPr>
        <w:t>七、破产重整相关事项</w:t>
      </w:r>
      <w:bookmarkEnd w:id="58"/>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公司报告期未发生破产重整相关事项。</w:t>
      </w:r>
    </w:p>
    <w:p>
      <w:pPr>
        <w:keepNext/>
        <w:keepLines/>
        <w:spacing w:before="300" w:after="300" w:line="320" w:lineRule="exact"/>
        <w:jc w:val="left"/>
        <w:outlineLvl w:val="1"/>
        <w:rPr>
          <w:rFonts w:ascii="宋体" w:hAnsi="宋体" w:eastAsia="宋体" w:cs="宋体"/>
          <w:b/>
          <w:bCs/>
          <w:sz w:val="24"/>
          <w:szCs w:val="24"/>
        </w:rPr>
      </w:pPr>
      <w:bookmarkStart w:id="59" w:name="_Toc988948"/>
      <w:r>
        <w:rPr>
          <w:rFonts w:ascii="宋体" w:hAnsi="宋体" w:eastAsia="宋体" w:cs="宋体"/>
          <w:b/>
          <w:bCs/>
          <w:sz w:val="24"/>
          <w:szCs w:val="24"/>
        </w:rPr>
        <w:t>八、诉讼事项</w:t>
      </w:r>
      <w:bookmarkEnd w:id="59"/>
    </w:p>
    <w:p>
      <w:pPr>
        <w:spacing w:before="100" w:after="100" w:line="240" w:lineRule="exact"/>
        <w:jc w:val="left"/>
        <w:rPr>
          <w:rFonts w:ascii="宋体" w:hAnsi="宋体" w:eastAsia="宋体" w:cs="宋体"/>
          <w:sz w:val="18"/>
          <w:szCs w:val="18"/>
        </w:rPr>
      </w:pPr>
      <w:r>
        <w:rPr>
          <w:rFonts w:ascii="宋体" w:hAnsi="宋体" w:eastAsia="宋体" w:cs="宋体"/>
          <w:sz w:val="18"/>
          <w:szCs w:val="18"/>
        </w:rPr>
        <w:t>重大诉讼仲裁事项</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5"/>
        <w:gridCol w:w="1205"/>
        <w:gridCol w:w="1205"/>
        <w:gridCol w:w="1205"/>
        <w:gridCol w:w="1205"/>
        <w:gridCol w:w="1205"/>
        <w:gridCol w:w="1205"/>
        <w:gridCol w:w="12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诉讼(仲裁)基本情况</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涉案金额（万元）</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是否形成预计负债</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诉讼(仲裁)进展</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诉讼(仲裁)审理结果及影响</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诉讼(仲裁)判决执行情况</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披露日期</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披露索引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截至2024年6月30日，公司合并口径范围内共有诉讼案件24起（其中以前年度发生案件13起，2024年发生11起），无《深交所股票上市规则》应披露而未披露的重大诉讼、仲裁事项。</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9,029.7</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截至2024年6月30日，已结案件8起；正在诉讼阶段案件16起（其中，6起新发生的案件；10起以前年度案件）。</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未对公司本报告期损益造成重大 影响。</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处于执行阶段3起（以往年度已结案）。</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其他诉讼事项</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60" w:name="_Toc988949"/>
      <w:r>
        <w:rPr>
          <w:rFonts w:ascii="宋体" w:hAnsi="宋体" w:eastAsia="宋体" w:cs="宋体"/>
          <w:b/>
          <w:bCs/>
          <w:sz w:val="24"/>
          <w:szCs w:val="24"/>
        </w:rPr>
        <w:t>九、处罚及整改情况</w:t>
      </w:r>
      <w:bookmarkEnd w:id="60"/>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公司报告期不存在处罚及整改情况。</w:t>
      </w:r>
    </w:p>
    <w:p>
      <w:pPr>
        <w:keepNext/>
        <w:keepLines/>
        <w:spacing w:before="300" w:after="300" w:line="320" w:lineRule="exact"/>
        <w:jc w:val="left"/>
        <w:outlineLvl w:val="1"/>
        <w:rPr>
          <w:rFonts w:ascii="宋体" w:hAnsi="宋体" w:eastAsia="宋体" w:cs="宋体"/>
          <w:b/>
          <w:bCs/>
          <w:sz w:val="24"/>
          <w:szCs w:val="24"/>
        </w:rPr>
      </w:pPr>
      <w:bookmarkStart w:id="61" w:name="_Toc988950"/>
      <w:r>
        <w:rPr>
          <w:rFonts w:ascii="宋体" w:hAnsi="宋体" w:eastAsia="宋体" w:cs="宋体"/>
          <w:b/>
          <w:bCs/>
          <w:sz w:val="24"/>
          <w:szCs w:val="24"/>
        </w:rPr>
        <w:t>十、公司及其控股股东、实际控制人的诚信状况</w:t>
      </w:r>
      <w:bookmarkEnd w:id="61"/>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62" w:name="_Toc988951"/>
      <w:r>
        <w:rPr>
          <w:rFonts w:ascii="宋体" w:hAnsi="宋体" w:eastAsia="宋体" w:cs="宋体"/>
          <w:b/>
          <w:bCs/>
          <w:sz w:val="24"/>
          <w:szCs w:val="24"/>
        </w:rPr>
        <w:t>十一、重大关联交易</w:t>
      </w:r>
      <w:bookmarkEnd w:id="62"/>
    </w:p>
    <w:p>
      <w:pPr>
        <w:keepNext/>
        <w:keepLines/>
        <w:spacing w:before="300" w:after="300" w:line="280" w:lineRule="exact"/>
        <w:jc w:val="left"/>
        <w:outlineLvl w:val="2"/>
        <w:rPr>
          <w:rFonts w:ascii="宋体" w:hAnsi="宋体" w:eastAsia="宋体" w:cs="宋体"/>
          <w:b/>
          <w:bCs/>
          <w:sz w:val="21"/>
          <w:szCs w:val="21"/>
        </w:rPr>
      </w:pPr>
      <w:bookmarkStart w:id="63" w:name="_Toc988952"/>
      <w:r>
        <w:rPr>
          <w:rFonts w:ascii="宋体" w:hAnsi="宋体" w:eastAsia="宋体" w:cs="宋体"/>
          <w:b/>
          <w:bCs/>
          <w:sz w:val="21"/>
          <w:szCs w:val="21"/>
        </w:rPr>
        <w:t>1、与日常经营相关的关联交易</w:t>
      </w:r>
      <w:bookmarkEnd w:id="63"/>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tbl>
      <w:tblPr>
        <w:tblStyle w:val="6"/>
        <w:tblW w:w="964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9"/>
        <w:gridCol w:w="689"/>
        <w:gridCol w:w="689"/>
        <w:gridCol w:w="689"/>
        <w:gridCol w:w="689"/>
        <w:gridCol w:w="689"/>
        <w:gridCol w:w="689"/>
        <w:gridCol w:w="689"/>
        <w:gridCol w:w="689"/>
        <w:gridCol w:w="689"/>
        <w:gridCol w:w="689"/>
        <w:gridCol w:w="689"/>
        <w:gridCol w:w="689"/>
        <w:gridCol w:w="68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关联交易方</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关联关系</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关联交易类型</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关联交易内容</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关联交易定价原则</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关联交易价格</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关联交易金额（万元）</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占同类交易金额的比例</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获批的交易额度（万元）</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是否超过获批额度</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关联交易结算方式</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可获得的同类交易市价</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披露日期</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披露索引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内蒙古电投能源股份有限公司</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同受实际控制人控制</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购买商品</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燃料采购</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市场定价</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66,507.39</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66,507.39</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51.01%</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按合同约定</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66,507.39</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2024年04月30日</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巨潮资讯网（www.cninfo.com.cn）（公告编号2024-036）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内蒙古白音华蒙东露天煤业有限公司、国家电投集团内蒙古白音华煤电有限公司露天矿</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同受实际控制人控制</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购买商品</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燃料采购</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市场定价</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31,174.81</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31,174.81</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23.91%</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按合同约定</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31,174.81</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2024年04月30日</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巨潮资讯网（www.cninfo.com.cn）（公告编号2024-036）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国家电力投资集团有限公司物资装备分公司</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同受实际控制人控制</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购买商品</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物资采购</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市场定价</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3,404.29</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3,404.29</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10.88%</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5,860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按合同约定</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3,404.29</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2024年04月30日</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巨潮资讯网（www.cninfo.com.cn）（公告编号2024-036）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756"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101,086.49</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265,860</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756"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大额销货退回的详细情况</w:t>
            </w:r>
          </w:p>
        </w:tc>
        <w:tc>
          <w:tcPr>
            <w:tcW w:w="689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756"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按类别对本期将发生的日常关联交易进行总金额预计的，在报告期内的实际履行情况（如有）</w:t>
            </w:r>
          </w:p>
        </w:tc>
        <w:tc>
          <w:tcPr>
            <w:tcW w:w="689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关联方销售产品全年预计265,860万元，报告期销售产品101,086.49万元。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756"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交易价格与市场参考价格差异较大的原因（如适用）</w:t>
            </w:r>
          </w:p>
        </w:tc>
        <w:tc>
          <w:tcPr>
            <w:tcW w:w="689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bl>
    <w:p>
      <w:pPr>
        <w:keepNext/>
        <w:keepLines/>
        <w:spacing w:before="300" w:after="300" w:line="280" w:lineRule="exact"/>
        <w:jc w:val="left"/>
        <w:outlineLvl w:val="2"/>
        <w:rPr>
          <w:rFonts w:ascii="宋体" w:hAnsi="宋体" w:eastAsia="宋体" w:cs="宋体"/>
          <w:b/>
          <w:bCs/>
          <w:sz w:val="21"/>
          <w:szCs w:val="21"/>
        </w:rPr>
      </w:pPr>
      <w:bookmarkStart w:id="64" w:name="_Toc988953"/>
      <w:r>
        <w:rPr>
          <w:rFonts w:ascii="宋体" w:hAnsi="宋体" w:eastAsia="宋体" w:cs="宋体"/>
          <w:b/>
          <w:bCs/>
          <w:sz w:val="21"/>
          <w:szCs w:val="21"/>
        </w:rPr>
        <w:t>2、资产或股权收购、出售发生的关联交易</w:t>
      </w:r>
      <w:bookmarkEnd w:id="64"/>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公司报告期未发生资产或股权收购、出售的关联交易。</w:t>
      </w:r>
    </w:p>
    <w:p>
      <w:pPr>
        <w:keepNext/>
        <w:keepLines/>
        <w:spacing w:before="300" w:after="300" w:line="280" w:lineRule="exact"/>
        <w:jc w:val="left"/>
        <w:outlineLvl w:val="2"/>
        <w:rPr>
          <w:rFonts w:ascii="宋体" w:hAnsi="宋体" w:eastAsia="宋体" w:cs="宋体"/>
          <w:b/>
          <w:bCs/>
          <w:sz w:val="21"/>
          <w:szCs w:val="21"/>
        </w:rPr>
      </w:pPr>
      <w:bookmarkStart w:id="65" w:name="_Toc988954"/>
      <w:r>
        <w:rPr>
          <w:rFonts w:ascii="宋体" w:hAnsi="宋体" w:eastAsia="宋体" w:cs="宋体"/>
          <w:b/>
          <w:bCs/>
          <w:sz w:val="21"/>
          <w:szCs w:val="21"/>
        </w:rPr>
        <w:t>3、共同对外投资的关联交易</w:t>
      </w:r>
      <w:bookmarkEnd w:id="65"/>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公司报告期未发生共同对外投资的关联交易。</w:t>
      </w:r>
    </w:p>
    <w:p>
      <w:pPr>
        <w:keepNext/>
        <w:keepLines/>
        <w:spacing w:before="300" w:after="300" w:line="280" w:lineRule="exact"/>
        <w:jc w:val="left"/>
        <w:outlineLvl w:val="2"/>
        <w:rPr>
          <w:rFonts w:ascii="宋体" w:hAnsi="宋体" w:eastAsia="宋体" w:cs="宋体"/>
          <w:b/>
          <w:bCs/>
          <w:sz w:val="21"/>
          <w:szCs w:val="21"/>
        </w:rPr>
      </w:pPr>
      <w:bookmarkStart w:id="66" w:name="_Toc988955"/>
      <w:r>
        <w:rPr>
          <w:rFonts w:ascii="宋体" w:hAnsi="宋体" w:eastAsia="宋体" w:cs="宋体"/>
          <w:b/>
          <w:bCs/>
          <w:sz w:val="21"/>
          <w:szCs w:val="21"/>
        </w:rPr>
        <w:t>4、关联债权债务往来</w:t>
      </w:r>
      <w:bookmarkEnd w:id="66"/>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公司报告期不存在关联债权债务往来。</w:t>
      </w:r>
    </w:p>
    <w:p>
      <w:pPr>
        <w:keepNext/>
        <w:keepLines/>
        <w:spacing w:before="300" w:after="300" w:line="280" w:lineRule="exact"/>
        <w:jc w:val="left"/>
        <w:outlineLvl w:val="2"/>
        <w:rPr>
          <w:rFonts w:ascii="宋体" w:hAnsi="宋体" w:eastAsia="宋体" w:cs="宋体"/>
          <w:b/>
          <w:bCs/>
          <w:sz w:val="21"/>
          <w:szCs w:val="21"/>
        </w:rPr>
      </w:pPr>
      <w:bookmarkStart w:id="67" w:name="_Toc988956"/>
      <w:r>
        <w:rPr>
          <w:rFonts w:ascii="宋体" w:hAnsi="宋体" w:eastAsia="宋体" w:cs="宋体"/>
          <w:b/>
          <w:bCs/>
          <w:sz w:val="21"/>
          <w:szCs w:val="21"/>
        </w:rPr>
        <w:t>5、与存在关联关系的财务公司的往来情况</w:t>
      </w:r>
      <w:bookmarkEnd w:id="67"/>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存款业务</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5"/>
        <w:gridCol w:w="1205"/>
        <w:gridCol w:w="1205"/>
        <w:gridCol w:w="1205"/>
        <w:gridCol w:w="1205"/>
        <w:gridCol w:w="1205"/>
        <w:gridCol w:w="1205"/>
        <w:gridCol w:w="12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关联方</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关联关系</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每日最高存款限额（万元）</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存款利率范围</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期初余额（万元）</w:t>
            </w:r>
          </w:p>
        </w:tc>
        <w:tc>
          <w:tcPr>
            <w:tcW w:w="2410"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本期合计存入金额（万元）</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本期合计取出金额（万元）</w:t>
            </w: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0.35%</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92,966</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4,256,834</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4,232,471</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117,329</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贷款业务</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5"/>
        <w:gridCol w:w="1205"/>
        <w:gridCol w:w="1205"/>
        <w:gridCol w:w="1205"/>
        <w:gridCol w:w="1205"/>
        <w:gridCol w:w="1205"/>
        <w:gridCol w:w="1205"/>
        <w:gridCol w:w="12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关联方</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关联关系</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贷款额度（万元）</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贷款利率范围</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期初余额（万元）</w:t>
            </w:r>
          </w:p>
        </w:tc>
        <w:tc>
          <w:tcPr>
            <w:tcW w:w="2410"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本期合计贷款金额（万元）</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本期合计还款金额（万元）</w:t>
            </w: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523,484</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2.1%-4.35%</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557,984</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194,500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523,484</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授信或其他金融业务</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关联方</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关联关系</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业务类型</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总额（万元）</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实际发生额（万元）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受同一最终控制方控制</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授信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650,300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523,484</w:t>
            </w:r>
          </w:p>
        </w:tc>
      </w:tr>
    </w:tbl>
    <w:p>
      <w:pPr>
        <w:keepNext/>
        <w:keepLines/>
        <w:spacing w:before="300" w:after="300" w:line="280" w:lineRule="exact"/>
        <w:jc w:val="left"/>
        <w:outlineLvl w:val="2"/>
        <w:rPr>
          <w:rFonts w:ascii="宋体" w:hAnsi="宋体" w:eastAsia="宋体" w:cs="宋体"/>
          <w:b/>
          <w:bCs/>
          <w:sz w:val="21"/>
          <w:szCs w:val="21"/>
        </w:rPr>
      </w:pPr>
      <w:bookmarkStart w:id="68" w:name="_Toc988957"/>
      <w:r>
        <w:rPr>
          <w:rFonts w:ascii="宋体" w:hAnsi="宋体" w:eastAsia="宋体" w:cs="宋体"/>
          <w:b/>
          <w:bCs/>
          <w:sz w:val="21"/>
          <w:szCs w:val="21"/>
        </w:rPr>
        <w:t>6、公司控股的财务公司与关联方的往来情况</w:t>
      </w:r>
      <w:bookmarkEnd w:id="68"/>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公司控股的财务公司与关联方之间不存在存款、贷款、授信或其他金融业务。</w:t>
      </w:r>
    </w:p>
    <w:p>
      <w:pPr>
        <w:keepNext/>
        <w:keepLines/>
        <w:spacing w:before="300" w:after="300" w:line="280" w:lineRule="exact"/>
        <w:jc w:val="left"/>
        <w:outlineLvl w:val="2"/>
        <w:rPr>
          <w:rFonts w:ascii="宋体" w:hAnsi="宋体" w:eastAsia="宋体" w:cs="宋体"/>
          <w:b/>
          <w:bCs/>
          <w:sz w:val="21"/>
          <w:szCs w:val="21"/>
        </w:rPr>
      </w:pPr>
      <w:bookmarkStart w:id="69" w:name="_Toc988958"/>
      <w:r>
        <w:rPr>
          <w:rFonts w:ascii="宋体" w:hAnsi="宋体" w:eastAsia="宋体" w:cs="宋体"/>
          <w:b/>
          <w:bCs/>
          <w:sz w:val="21"/>
          <w:szCs w:val="21"/>
        </w:rPr>
        <w:t>7、其他重大关联交易</w:t>
      </w:r>
      <w:bookmarkEnd w:id="69"/>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pStyle w:val="5"/>
        <w:keepNext w:val="0"/>
        <w:keepLines w:val="0"/>
        <w:widowControl/>
        <w:suppressLineNumbers w:val="0"/>
        <w:rPr>
          <w:sz w:val="21"/>
          <w:szCs w:val="21"/>
        </w:rPr>
      </w:pPr>
      <w:r>
        <w:rPr>
          <w:rFonts w:hint="eastAsia" w:ascii="宋体" w:hAnsi="宋体" w:eastAsia="宋体" w:cs="宋体"/>
          <w:sz w:val="21"/>
          <w:szCs w:val="21"/>
        </w:rPr>
        <w:t>详细见本报告第十节“财务报告第十四项：第5条，关联交易情况”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重大关联交易临时报告披露网站相关查询</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临时公告名称</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临时公告披露日期</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临时公告披露网站名称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吉林电力股份有限公司关于公司所属企业拟接受上海发电设备成套设计研究院有限责任公司提供EPC工程总承包服务暨关联交易的公告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2024年03月20日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巨潮资讯网（www.cninfo.com.cn）（公告编号2024-018）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吉林电力股份有限公司关于公司所属企业拟接受上海能源科技发展有限公司提供EPC工程总承包服务暨关联交易的公告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2024年03月20日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巨潮资讯网（www.cninfo.com.cn）（公告编号2024-019）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关于公司与国家电投集团财务有限公司办理存款、贷款业务的关联交易公告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2024年04月30日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巨潮资讯网（www.cninfo.com.cn）（公告编号2024-034）</w:t>
            </w:r>
          </w:p>
        </w:tc>
      </w:tr>
    </w:tbl>
    <w:p>
      <w:pPr>
        <w:keepNext/>
        <w:keepLines/>
        <w:spacing w:before="300" w:after="300" w:line="320" w:lineRule="exact"/>
        <w:jc w:val="left"/>
        <w:outlineLvl w:val="1"/>
        <w:rPr>
          <w:rFonts w:ascii="宋体" w:hAnsi="宋体" w:eastAsia="宋体" w:cs="宋体"/>
          <w:b/>
          <w:bCs/>
          <w:sz w:val="24"/>
          <w:szCs w:val="24"/>
        </w:rPr>
      </w:pPr>
      <w:bookmarkStart w:id="70" w:name="_Toc988959"/>
      <w:r>
        <w:rPr>
          <w:rFonts w:ascii="宋体" w:hAnsi="宋体" w:eastAsia="宋体" w:cs="宋体"/>
          <w:b/>
          <w:bCs/>
          <w:sz w:val="24"/>
          <w:szCs w:val="24"/>
        </w:rPr>
        <w:t>十二、重大合同及其履行情况</w:t>
      </w:r>
      <w:bookmarkEnd w:id="70"/>
    </w:p>
    <w:p>
      <w:pPr>
        <w:keepNext/>
        <w:keepLines/>
        <w:spacing w:before="300" w:after="300" w:line="280" w:lineRule="exact"/>
        <w:jc w:val="left"/>
        <w:outlineLvl w:val="2"/>
        <w:rPr>
          <w:rFonts w:ascii="宋体" w:hAnsi="宋体" w:eastAsia="宋体" w:cs="宋体"/>
          <w:b/>
          <w:bCs/>
          <w:sz w:val="21"/>
          <w:szCs w:val="21"/>
        </w:rPr>
      </w:pPr>
      <w:bookmarkStart w:id="71" w:name="_Toc988960"/>
      <w:r>
        <w:rPr>
          <w:rFonts w:ascii="宋体" w:hAnsi="宋体" w:eastAsia="宋体" w:cs="宋体"/>
          <w:b/>
          <w:bCs/>
          <w:sz w:val="21"/>
          <w:szCs w:val="21"/>
        </w:rPr>
        <w:t>1、托管、承包、租赁事项情况</w:t>
      </w:r>
      <w:bookmarkEnd w:id="71"/>
    </w:p>
    <w:p>
      <w:pPr>
        <w:keepNext/>
        <w:keepLines/>
        <w:spacing w:before="300" w:after="300" w:line="280" w:lineRule="exact"/>
        <w:jc w:val="left"/>
        <w:outlineLvl w:val="3"/>
        <w:rPr>
          <w:rFonts w:ascii="宋体" w:hAnsi="宋体" w:eastAsia="宋体" w:cs="宋体"/>
          <w:b/>
          <w:bCs/>
          <w:sz w:val="18"/>
          <w:szCs w:val="18"/>
        </w:rPr>
      </w:pPr>
      <w:bookmarkStart w:id="72" w:name="_Toc988961"/>
      <w:r>
        <w:rPr>
          <w:rFonts w:ascii="宋体" w:hAnsi="宋体" w:eastAsia="宋体" w:cs="宋体"/>
          <w:b/>
          <w:bCs/>
          <w:sz w:val="18"/>
          <w:szCs w:val="18"/>
        </w:rPr>
        <w:t>（1） 托管情况</w:t>
      </w:r>
      <w:bookmarkEnd w:id="72"/>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公司报告期不存在托管情况。</w:t>
      </w:r>
    </w:p>
    <w:p>
      <w:pPr>
        <w:keepNext/>
        <w:keepLines/>
        <w:spacing w:before="300" w:after="300" w:line="280" w:lineRule="exact"/>
        <w:jc w:val="left"/>
        <w:outlineLvl w:val="3"/>
        <w:rPr>
          <w:rFonts w:ascii="宋体" w:hAnsi="宋体" w:eastAsia="宋体" w:cs="宋体"/>
          <w:b/>
          <w:bCs/>
          <w:sz w:val="18"/>
          <w:szCs w:val="18"/>
        </w:rPr>
      </w:pPr>
      <w:bookmarkStart w:id="73" w:name="_Toc988962"/>
      <w:r>
        <w:rPr>
          <w:rFonts w:ascii="宋体" w:hAnsi="宋体" w:eastAsia="宋体" w:cs="宋体"/>
          <w:b/>
          <w:bCs/>
          <w:sz w:val="18"/>
          <w:szCs w:val="18"/>
        </w:rPr>
        <w:t>（2） 承包情况</w:t>
      </w:r>
      <w:bookmarkEnd w:id="73"/>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公司报告期不存在承包情况。</w:t>
      </w:r>
    </w:p>
    <w:p>
      <w:pPr>
        <w:keepNext/>
        <w:keepLines/>
        <w:spacing w:before="300" w:after="300" w:line="280" w:lineRule="exact"/>
        <w:jc w:val="left"/>
        <w:outlineLvl w:val="3"/>
        <w:rPr>
          <w:rFonts w:ascii="宋体" w:hAnsi="宋体" w:eastAsia="宋体" w:cs="宋体"/>
          <w:b/>
          <w:bCs/>
          <w:sz w:val="18"/>
          <w:szCs w:val="18"/>
        </w:rPr>
      </w:pPr>
      <w:bookmarkStart w:id="74" w:name="_Toc988963"/>
      <w:r>
        <w:rPr>
          <w:rFonts w:ascii="宋体" w:hAnsi="宋体" w:eastAsia="宋体" w:cs="宋体"/>
          <w:b/>
          <w:bCs/>
          <w:sz w:val="18"/>
          <w:szCs w:val="18"/>
        </w:rPr>
        <w:t>（3） 租赁情况</w:t>
      </w:r>
      <w:bookmarkEnd w:id="74"/>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公司报告期不存在租赁情况。</w:t>
      </w:r>
    </w:p>
    <w:p>
      <w:pPr>
        <w:keepNext/>
        <w:keepLines/>
        <w:spacing w:before="300" w:after="300" w:line="280" w:lineRule="exact"/>
        <w:jc w:val="left"/>
        <w:outlineLvl w:val="2"/>
        <w:rPr>
          <w:rFonts w:ascii="宋体" w:hAnsi="宋体" w:eastAsia="宋体" w:cs="宋体"/>
          <w:b/>
          <w:bCs/>
          <w:sz w:val="21"/>
          <w:szCs w:val="21"/>
        </w:rPr>
      </w:pPr>
      <w:bookmarkStart w:id="75" w:name="_Toc988964"/>
      <w:r>
        <w:rPr>
          <w:rFonts w:ascii="宋体" w:hAnsi="宋体" w:eastAsia="宋体" w:cs="宋体"/>
          <w:b/>
          <w:bCs/>
          <w:sz w:val="21"/>
          <w:szCs w:val="21"/>
        </w:rPr>
        <w:t>2、重大担保</w:t>
      </w:r>
      <w:bookmarkEnd w:id="75"/>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单位：万元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公司及其子公司对外担保情况（不包括对子公司的担保）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担保对象名称</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担保额度相关公告披露日期</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担保额度</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实际发生日期</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实际担保金额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担保类型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担保物（如有）</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反担保情况（如有）</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担保期</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是否履行完毕</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是否为关联方担保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公司对子公司的担保情况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担保对象名称</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担保额度相关公告披露日期</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担保额度</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实际发生日期</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实际担保金额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担保类型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担保物（如有）</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反担保情况（如有）</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担保期</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是否履行完毕</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是否为关联方担保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子公司对子公司的担保情况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担保对象名称</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担保额度相关公告披露日期</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担保额度</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实际发生日期</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实际担保金额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担保类型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担保物（如有）</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反担保情况（如有）</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担保期</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是否履行完毕</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是否为关联方担保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吉林里程协合风力发电有限公司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2017年07月26日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11,214.9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2017年08月17日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4,845.24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质押</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10年</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吉林泰合风力发电有限公司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2017年07月26日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9,939.9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2017年08月17日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2,907.36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质押</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9年</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报告期末已审批的对子公司担保额度合计（C3）</w:t>
            </w:r>
          </w:p>
        </w:tc>
        <w:tc>
          <w:tcPr>
            <w:tcW w:w="175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21,154.8</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报告期末对子公司实际担保余额合计（C4）</w:t>
            </w:r>
          </w:p>
        </w:tc>
        <w:tc>
          <w:tcPr>
            <w:tcW w:w="4380"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7,752.6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公司担保总额（即前三大项的合计）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报告期末已审批的担保额度合计（A3+B3+C3）</w:t>
            </w:r>
          </w:p>
        </w:tc>
        <w:tc>
          <w:tcPr>
            <w:tcW w:w="175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21,154.8</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报告期末实际担保余额合计（A4+B4+C4）</w:t>
            </w:r>
          </w:p>
        </w:tc>
        <w:tc>
          <w:tcPr>
            <w:tcW w:w="4380"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7,752.6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50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实际担保总额（即A4+B4+C4）占公司净资产的比例</w:t>
            </w:r>
          </w:p>
        </w:tc>
        <w:tc>
          <w:tcPr>
            <w:tcW w:w="6132"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50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直接或间接为资产负债率超过70%的被担保对象提供的债务担保余额（E）</w:t>
            </w:r>
          </w:p>
        </w:tc>
        <w:tc>
          <w:tcPr>
            <w:tcW w:w="6132"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4,845.24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50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上述三项担保金额合计（D+E+F）</w:t>
            </w:r>
          </w:p>
        </w:tc>
        <w:tc>
          <w:tcPr>
            <w:tcW w:w="6132"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4,845.24</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采用复合方式担保的具体情况说明</w:t>
      </w:r>
    </w:p>
    <w:p>
      <w:pPr>
        <w:keepNext/>
        <w:keepLines/>
        <w:spacing w:before="300" w:after="300" w:line="280" w:lineRule="exact"/>
        <w:jc w:val="left"/>
        <w:outlineLvl w:val="2"/>
        <w:rPr>
          <w:rFonts w:ascii="宋体" w:hAnsi="宋体" w:eastAsia="宋体" w:cs="宋体"/>
          <w:b/>
          <w:bCs/>
          <w:sz w:val="21"/>
          <w:szCs w:val="21"/>
        </w:rPr>
      </w:pPr>
      <w:bookmarkStart w:id="76" w:name="_Toc988965"/>
      <w:r>
        <w:rPr>
          <w:rFonts w:ascii="宋体" w:hAnsi="宋体" w:eastAsia="宋体" w:cs="宋体"/>
          <w:b/>
          <w:bCs/>
          <w:sz w:val="21"/>
          <w:szCs w:val="21"/>
        </w:rPr>
        <w:t>3、委托理财</w:t>
      </w:r>
      <w:bookmarkEnd w:id="76"/>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公司报告期不存在委托理财。</w:t>
      </w:r>
    </w:p>
    <w:p>
      <w:pPr>
        <w:keepNext/>
        <w:keepLines/>
        <w:spacing w:before="300" w:after="300" w:line="280" w:lineRule="exact"/>
        <w:jc w:val="left"/>
        <w:outlineLvl w:val="2"/>
        <w:rPr>
          <w:rFonts w:ascii="宋体" w:hAnsi="宋体" w:eastAsia="宋体" w:cs="宋体"/>
          <w:b/>
          <w:bCs/>
          <w:sz w:val="21"/>
          <w:szCs w:val="21"/>
        </w:rPr>
      </w:pPr>
      <w:bookmarkStart w:id="77" w:name="_Toc988966"/>
      <w:r>
        <w:rPr>
          <w:rFonts w:ascii="宋体" w:hAnsi="宋体" w:eastAsia="宋体" w:cs="宋体"/>
          <w:b/>
          <w:bCs/>
          <w:sz w:val="21"/>
          <w:szCs w:val="21"/>
        </w:rPr>
        <w:t>4、其他重大合同</w:t>
      </w:r>
      <w:bookmarkEnd w:id="77"/>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tbl>
      <w:tblPr>
        <w:tblStyle w:val="6"/>
        <w:tblW w:w="964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3"/>
        <w:gridCol w:w="643"/>
        <w:gridCol w:w="643"/>
        <w:gridCol w:w="643"/>
        <w:gridCol w:w="643"/>
        <w:gridCol w:w="643"/>
        <w:gridCol w:w="643"/>
        <w:gridCol w:w="643"/>
        <w:gridCol w:w="643"/>
        <w:gridCol w:w="643"/>
        <w:gridCol w:w="643"/>
        <w:gridCol w:w="643"/>
        <w:gridCol w:w="643"/>
        <w:gridCol w:w="643"/>
        <w:gridCol w:w="64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合同订立公司方名称</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合同订立对方名称</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合同标的</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合同签订日期</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合同涉及资产的账面价值（万元）（如有）</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合同涉及资产的评估价值（万元）（如有）</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评估机构名称（如有）</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评估基准日（如有）</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定价原则</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交易价格（万元）</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是否关联交易</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关联关系</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截至报告期末的执行情况</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披露日期</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披露索引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广西吉投智慧能源科技有限公司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上海能源科技发展有限公司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邕宁那楼风电场项目EPC总承包合同</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2024年03月25日</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竞争性谈判</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116,644.09</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同受实际控制人控制</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执行中</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2024年03月20日</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巨潮资讯网（www.cninfo.com.cn）（公告编号2024-019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广西吉投智慧能源科技有限公司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上海能源科技发展有限公司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邕宁百济新平风电场项目EPC总承包合同</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2024年03月25日</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竞争性谈判</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108,992.35</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同受实际控制人控制</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执行中</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2024年03月20日</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巨潮资讯网（www.cninfo.com.cn）（公告编号2024-019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通榆中吉光热发电有限公司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中国电建集团吉林省电力勘测设计院有限公司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吉西基地鲁固直流140万千瓦外送项目1（光热100MW）工程EPC总承包合同</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2024年05月06日</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公开招标</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84,924.6</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执行中</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大安吉电绿氢能源有限公司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中油吉林化建工程有限公司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大安风光制绿氢合成氨一体化示范项目中心控制室、分析化验室、机柜间及全厂电气、仪表、电信外线建筑及安装施工合同</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2024年01月03日</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公开招标</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12,940.05</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执行中</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吉林电力股份有限公司长春热电分公司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中钢天澄环保科技股份有限公司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长春热电公司烟气余热回收综合智慧能源项目EPC总承包</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2024年03月04日</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公开招标</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8,668</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执行中</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bl>
    <w:p>
      <w:pPr>
        <w:keepNext/>
        <w:keepLines/>
        <w:spacing w:before="300" w:after="300" w:line="320" w:lineRule="exact"/>
        <w:jc w:val="left"/>
        <w:outlineLvl w:val="1"/>
        <w:rPr>
          <w:rFonts w:ascii="宋体" w:hAnsi="宋体" w:eastAsia="宋体" w:cs="宋体"/>
          <w:b/>
          <w:bCs/>
          <w:sz w:val="24"/>
          <w:szCs w:val="24"/>
        </w:rPr>
      </w:pPr>
      <w:bookmarkStart w:id="78" w:name="_Toc988967"/>
      <w:r>
        <w:rPr>
          <w:rFonts w:ascii="宋体" w:hAnsi="宋体" w:eastAsia="宋体" w:cs="宋体"/>
          <w:b/>
          <w:bCs/>
          <w:sz w:val="24"/>
          <w:szCs w:val="24"/>
        </w:rPr>
        <w:t>十三、其他重大事项的说明</w:t>
      </w:r>
      <w:bookmarkEnd w:id="78"/>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pStyle w:val="5"/>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1"/>
          <w:szCs w:val="21"/>
        </w:rPr>
      </w:pPr>
      <w:r>
        <w:rPr>
          <w:rFonts w:hint="eastAsia" w:ascii="宋体" w:hAnsi="宋体" w:eastAsia="宋体" w:cs="宋体"/>
          <w:sz w:val="21"/>
          <w:szCs w:val="21"/>
        </w:rPr>
        <w:t>1.2024年</w:t>
      </w:r>
      <w:r>
        <w:rPr>
          <w:rFonts w:hint="default" w:ascii="Times New Roman" w:hAnsi="Times New Roman" w:eastAsia="宋体" w:cs="Times New Roman"/>
          <w:sz w:val="21"/>
          <w:szCs w:val="21"/>
        </w:rPr>
        <w:t>4</w:t>
      </w:r>
      <w:r>
        <w:rPr>
          <w:rFonts w:hint="eastAsia" w:ascii="宋体" w:hAnsi="宋体" w:eastAsia="宋体" w:cs="宋体"/>
          <w:sz w:val="21"/>
          <w:szCs w:val="21"/>
        </w:rPr>
        <w:t>月</w:t>
      </w:r>
      <w:r>
        <w:rPr>
          <w:rFonts w:hint="default" w:ascii="Times New Roman" w:hAnsi="Times New Roman" w:eastAsia="宋体" w:cs="Times New Roman"/>
          <w:sz w:val="21"/>
          <w:szCs w:val="21"/>
        </w:rPr>
        <w:t>30</w:t>
      </w:r>
      <w:r>
        <w:rPr>
          <w:rFonts w:hint="eastAsia" w:ascii="宋体" w:hAnsi="宋体" w:eastAsia="宋体" w:cs="宋体"/>
          <w:sz w:val="21"/>
          <w:szCs w:val="21"/>
        </w:rPr>
        <w:t>日，公司发布了《吉林电力股份有限公司关于向特定对象发行股票申请获得中国证监会同意注册批复的公告》，公司收到中国证券监督管理委员会出具的《关于同意吉林电力股份有限公司向特定对象发行股票注册的批复》（证监许可</w:t>
      </w:r>
      <w:r>
        <w:rPr>
          <w:rFonts w:hint="default" w:ascii="Times New Roman" w:hAnsi="Times New Roman" w:eastAsia="宋体" w:cs="Times New Roman"/>
          <w:sz w:val="21"/>
          <w:szCs w:val="21"/>
        </w:rPr>
        <w:t xml:space="preserve">[2024]690 </w:t>
      </w:r>
      <w:r>
        <w:rPr>
          <w:rFonts w:hint="eastAsia" w:ascii="宋体" w:hAnsi="宋体" w:eastAsia="宋体" w:cs="宋体"/>
          <w:sz w:val="21"/>
          <w:szCs w:val="21"/>
        </w:rPr>
        <w:t>号）。具体内容详见</w:t>
      </w:r>
      <w:r>
        <w:rPr>
          <w:rFonts w:hint="default" w:ascii="Times New Roman" w:hAnsi="Times New Roman" w:eastAsia="宋体" w:cs="Times New Roman"/>
          <w:sz w:val="21"/>
          <w:szCs w:val="21"/>
        </w:rPr>
        <w:t>2024</w:t>
      </w:r>
      <w:r>
        <w:rPr>
          <w:rFonts w:hint="eastAsia" w:ascii="宋体" w:hAnsi="宋体" w:eastAsia="宋体" w:cs="宋体"/>
          <w:sz w:val="21"/>
          <w:szCs w:val="21"/>
        </w:rPr>
        <w:t>年</w:t>
      </w:r>
      <w:r>
        <w:rPr>
          <w:rFonts w:hint="default" w:ascii="Times New Roman" w:hAnsi="Times New Roman" w:eastAsia="宋体" w:cs="Times New Roman"/>
          <w:sz w:val="21"/>
          <w:szCs w:val="21"/>
        </w:rPr>
        <w:t>4</w:t>
      </w:r>
      <w:r>
        <w:rPr>
          <w:rFonts w:hint="eastAsia" w:ascii="宋体" w:hAnsi="宋体" w:eastAsia="宋体" w:cs="宋体"/>
          <w:sz w:val="21"/>
          <w:szCs w:val="21"/>
        </w:rPr>
        <w:t>月</w:t>
      </w:r>
      <w:r>
        <w:rPr>
          <w:rFonts w:hint="default" w:ascii="Times New Roman" w:hAnsi="Times New Roman" w:eastAsia="宋体" w:cs="Times New Roman"/>
          <w:sz w:val="21"/>
          <w:szCs w:val="21"/>
        </w:rPr>
        <w:t>30</w:t>
      </w:r>
      <w:r>
        <w:rPr>
          <w:rFonts w:hint="eastAsia" w:ascii="宋体" w:hAnsi="宋体" w:eastAsia="宋体" w:cs="宋体"/>
          <w:sz w:val="21"/>
          <w:szCs w:val="21"/>
        </w:rPr>
        <w:t>日刊载于《中国证券报》《上海证券报》《证券时报》和巨潮资讯网（</w:t>
      </w:r>
      <w:r>
        <w:rPr>
          <w:rFonts w:hint="default" w:ascii="Times New Roman" w:hAnsi="Times New Roman" w:eastAsia="宋体" w:cs="Times New Roman"/>
          <w:sz w:val="21"/>
          <w:szCs w:val="21"/>
        </w:rPr>
        <w:t>www.cninfo.com.cn</w:t>
      </w:r>
      <w:r>
        <w:rPr>
          <w:rFonts w:hint="eastAsia" w:ascii="宋体" w:hAnsi="宋体" w:eastAsia="宋体" w:cs="宋体"/>
          <w:sz w:val="21"/>
          <w:szCs w:val="21"/>
        </w:rPr>
        <w:t>）（公告编号：</w:t>
      </w:r>
      <w:r>
        <w:rPr>
          <w:rFonts w:hint="default" w:ascii="Times New Roman" w:hAnsi="Times New Roman" w:eastAsia="宋体" w:cs="Times New Roman"/>
          <w:sz w:val="21"/>
          <w:szCs w:val="21"/>
        </w:rPr>
        <w:t>2024-040</w:t>
      </w:r>
      <w:r>
        <w:rPr>
          <w:rFonts w:hint="eastAsia" w:ascii="宋体" w:hAnsi="宋体" w:eastAsia="宋体" w:cs="宋体"/>
          <w:sz w:val="21"/>
          <w:szCs w:val="21"/>
        </w:rPr>
        <w:t>）</w:t>
      </w:r>
    </w:p>
    <w:p>
      <w:pPr>
        <w:pStyle w:val="5"/>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1"/>
          <w:szCs w:val="21"/>
        </w:rPr>
      </w:pPr>
      <w:r>
        <w:rPr>
          <w:rFonts w:hint="eastAsia" w:ascii="宋体" w:hAnsi="宋体" w:eastAsia="宋体" w:cs="宋体"/>
          <w:sz w:val="21"/>
          <w:szCs w:val="21"/>
        </w:rPr>
        <w:t>2.2024年7月31日，公司发布了《吉林电力股份有限公司关于会计政策变更的公告》，本次会计政策变更是根据中华人民共和国财政部于2023年10月25日发布的《关于印发〈企业会计准则解释第17号〉的通知》（财会〔2023〕21号）的要求变更会计政策。具体内容详见2024年7月31日刊载于《中国证券报》《上海证券报》《证券时报》和巨潮资讯网（www.cninfo.com.cn）（公告编号：2024-055）</w:t>
      </w:r>
    </w:p>
    <w:p>
      <w:pPr>
        <w:keepNext/>
        <w:keepLines/>
        <w:spacing w:before="300" w:after="300" w:line="320" w:lineRule="exact"/>
        <w:jc w:val="left"/>
        <w:outlineLvl w:val="1"/>
        <w:rPr>
          <w:rFonts w:ascii="宋体" w:hAnsi="宋体" w:eastAsia="宋体" w:cs="宋体"/>
          <w:b/>
          <w:bCs/>
          <w:sz w:val="24"/>
          <w:szCs w:val="24"/>
        </w:rPr>
      </w:pPr>
      <w:bookmarkStart w:id="79" w:name="_Toc988968"/>
      <w:r>
        <w:rPr>
          <w:rFonts w:ascii="宋体" w:hAnsi="宋体" w:eastAsia="宋体" w:cs="宋体"/>
          <w:b/>
          <w:bCs/>
          <w:sz w:val="24"/>
          <w:szCs w:val="24"/>
        </w:rPr>
        <w:t>十四、公司子公司重大事项</w:t>
      </w:r>
      <w:bookmarkEnd w:id="79"/>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pStyle w:val="5"/>
        <w:keepNext w:val="0"/>
        <w:keepLines w:val="0"/>
        <w:widowControl/>
        <w:suppressLineNumbers w:val="0"/>
        <w:spacing w:before="0" w:beforeAutospacing="0" w:after="0" w:afterAutospacing="0"/>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1.2024年</w:t>
      </w:r>
      <w:r>
        <w:rPr>
          <w:rFonts w:hint="default" w:ascii="Times New Roman" w:hAnsi="Times New Roman" w:eastAsia="宋体" w:cs="Times New Roman"/>
          <w:sz w:val="21"/>
          <w:szCs w:val="21"/>
        </w:rPr>
        <w:t>1</w:t>
      </w:r>
      <w:r>
        <w:rPr>
          <w:rFonts w:hint="eastAsia" w:ascii="宋体" w:hAnsi="宋体" w:eastAsia="宋体" w:cs="宋体"/>
          <w:sz w:val="21"/>
          <w:szCs w:val="21"/>
        </w:rPr>
        <w:t>月</w:t>
      </w:r>
      <w:r>
        <w:rPr>
          <w:rFonts w:hint="default" w:ascii="Times New Roman" w:hAnsi="Times New Roman" w:eastAsia="宋体" w:cs="Times New Roman"/>
          <w:sz w:val="21"/>
          <w:szCs w:val="21"/>
        </w:rPr>
        <w:t>15</w:t>
      </w:r>
      <w:r>
        <w:rPr>
          <w:rFonts w:hint="eastAsia" w:ascii="宋体" w:hAnsi="宋体" w:eastAsia="宋体" w:cs="宋体"/>
          <w:sz w:val="21"/>
          <w:szCs w:val="21"/>
        </w:rPr>
        <w:t>日，本公司第九届董事会第十四次会议审议通过了《关于投资建设广西邕宁百济新平200兆瓦风电项目的议案》，同意公司全资子公司广西沃中投资有限公司的全资子公司广西吉投智慧能源科技有限公司投资建设广西邕宁百济新平</w:t>
      </w:r>
      <w:r>
        <w:rPr>
          <w:rFonts w:hint="default" w:ascii="Times New Roman" w:hAnsi="Times New Roman" w:eastAsia="宋体" w:cs="Times New Roman"/>
          <w:sz w:val="21"/>
          <w:szCs w:val="21"/>
        </w:rPr>
        <w:t xml:space="preserve">200 </w:t>
      </w:r>
      <w:r>
        <w:rPr>
          <w:rFonts w:hint="eastAsia" w:ascii="宋体" w:hAnsi="宋体" w:eastAsia="宋体" w:cs="宋体"/>
          <w:sz w:val="21"/>
          <w:szCs w:val="21"/>
        </w:rPr>
        <w:t>兆瓦风电项目。项目工程动态投资</w:t>
      </w:r>
      <w:r>
        <w:rPr>
          <w:rFonts w:hint="default" w:ascii="Times New Roman" w:hAnsi="Times New Roman" w:eastAsia="宋体" w:cs="Times New Roman"/>
          <w:sz w:val="21"/>
          <w:szCs w:val="21"/>
        </w:rPr>
        <w:t xml:space="preserve">124,359.03 </w:t>
      </w:r>
      <w:r>
        <w:rPr>
          <w:rFonts w:hint="eastAsia" w:ascii="宋体" w:hAnsi="宋体" w:eastAsia="宋体" w:cs="宋体"/>
          <w:sz w:val="21"/>
          <w:szCs w:val="21"/>
        </w:rPr>
        <w:t>万元，项目资本金不低于工程动态总投资的</w:t>
      </w:r>
      <w:r>
        <w:rPr>
          <w:rFonts w:hint="default" w:ascii="Times New Roman" w:hAnsi="Times New Roman" w:eastAsia="宋体" w:cs="Times New Roman"/>
          <w:sz w:val="21"/>
          <w:szCs w:val="21"/>
        </w:rPr>
        <w:t>20%</w:t>
      </w:r>
      <w:r>
        <w:rPr>
          <w:rFonts w:hint="eastAsia" w:ascii="宋体" w:hAnsi="宋体" w:eastAsia="宋体" w:cs="宋体"/>
          <w:sz w:val="21"/>
          <w:szCs w:val="21"/>
        </w:rPr>
        <w:t>，其余建设资金通过长期贷款方式解决。资本金根据工程进展情况逐步注入。具体内容详见</w:t>
      </w:r>
      <w:r>
        <w:rPr>
          <w:rFonts w:hint="default" w:ascii="Times New Roman" w:hAnsi="Times New Roman" w:eastAsia="宋体" w:cs="Times New Roman"/>
          <w:sz w:val="21"/>
          <w:szCs w:val="21"/>
        </w:rPr>
        <w:t>2024</w:t>
      </w:r>
      <w:r>
        <w:rPr>
          <w:rFonts w:hint="eastAsia" w:ascii="宋体" w:hAnsi="宋体" w:eastAsia="宋体" w:cs="宋体"/>
          <w:sz w:val="21"/>
          <w:szCs w:val="21"/>
        </w:rPr>
        <w:t>年</w:t>
      </w:r>
      <w:r>
        <w:rPr>
          <w:rFonts w:hint="default" w:ascii="Times New Roman" w:hAnsi="Times New Roman" w:eastAsia="宋体" w:cs="Times New Roman"/>
          <w:sz w:val="21"/>
          <w:szCs w:val="21"/>
        </w:rPr>
        <w:t>1</w:t>
      </w:r>
      <w:r>
        <w:rPr>
          <w:rFonts w:hint="eastAsia" w:ascii="宋体" w:hAnsi="宋体" w:eastAsia="宋体" w:cs="宋体"/>
          <w:sz w:val="21"/>
          <w:szCs w:val="21"/>
        </w:rPr>
        <w:t>月</w:t>
      </w:r>
      <w:r>
        <w:rPr>
          <w:rFonts w:hint="default" w:ascii="Times New Roman" w:hAnsi="Times New Roman" w:eastAsia="宋体" w:cs="Times New Roman"/>
          <w:sz w:val="21"/>
          <w:szCs w:val="21"/>
        </w:rPr>
        <w:t>16</w:t>
      </w:r>
      <w:r>
        <w:rPr>
          <w:rFonts w:hint="eastAsia" w:ascii="宋体" w:hAnsi="宋体" w:eastAsia="宋体" w:cs="宋体"/>
          <w:sz w:val="21"/>
          <w:szCs w:val="21"/>
        </w:rPr>
        <w:t>日刊载于《中国证券报》《上海证券报》《证券时报》和巨潮资讯网（</w:t>
      </w:r>
      <w:r>
        <w:rPr>
          <w:rFonts w:hint="default" w:ascii="Times New Roman" w:hAnsi="Times New Roman" w:eastAsia="宋体" w:cs="Times New Roman"/>
          <w:sz w:val="21"/>
          <w:szCs w:val="21"/>
        </w:rPr>
        <w:t>www.cninfo.com.cn</w:t>
      </w:r>
      <w:r>
        <w:rPr>
          <w:rFonts w:hint="eastAsia" w:ascii="宋体" w:hAnsi="宋体" w:eastAsia="宋体" w:cs="宋体"/>
          <w:sz w:val="21"/>
          <w:szCs w:val="21"/>
        </w:rPr>
        <w:t>）的公告</w:t>
      </w:r>
    </w:p>
    <w:p>
      <w:pPr>
        <w:pStyle w:val="5"/>
        <w:keepNext w:val="0"/>
        <w:keepLines w:val="0"/>
        <w:widowControl/>
        <w:suppressLineNumbers w:val="0"/>
        <w:spacing w:before="0" w:beforeAutospacing="0" w:after="0" w:afterAutospacing="0"/>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2.2024年</w:t>
      </w:r>
      <w:r>
        <w:rPr>
          <w:rFonts w:hint="default" w:ascii="Times New Roman" w:hAnsi="Times New Roman" w:eastAsia="宋体" w:cs="Times New Roman"/>
          <w:sz w:val="21"/>
          <w:szCs w:val="21"/>
        </w:rPr>
        <w:t>1</w:t>
      </w:r>
      <w:r>
        <w:rPr>
          <w:rFonts w:hint="eastAsia" w:ascii="宋体" w:hAnsi="宋体" w:eastAsia="宋体" w:cs="宋体"/>
          <w:sz w:val="21"/>
          <w:szCs w:val="21"/>
        </w:rPr>
        <w:t>月</w:t>
      </w:r>
      <w:r>
        <w:rPr>
          <w:rFonts w:hint="default" w:ascii="Times New Roman" w:hAnsi="Times New Roman" w:eastAsia="宋体" w:cs="Times New Roman"/>
          <w:sz w:val="21"/>
          <w:szCs w:val="21"/>
        </w:rPr>
        <w:t>15</w:t>
      </w:r>
      <w:r>
        <w:rPr>
          <w:rFonts w:hint="eastAsia" w:ascii="宋体" w:hAnsi="宋体" w:eastAsia="宋体" w:cs="宋体"/>
          <w:sz w:val="21"/>
          <w:szCs w:val="21"/>
        </w:rPr>
        <w:t>日，本公司第九届董事会第十四次会议审议通过了《关于投资建设广西邕宁那楼</w:t>
      </w:r>
      <w:r>
        <w:rPr>
          <w:rFonts w:hint="default" w:ascii="Times New Roman" w:hAnsi="Times New Roman" w:eastAsia="宋体" w:cs="Times New Roman"/>
          <w:sz w:val="21"/>
          <w:szCs w:val="21"/>
        </w:rPr>
        <w:t>200</w:t>
      </w:r>
      <w:r>
        <w:rPr>
          <w:rFonts w:hint="eastAsia" w:ascii="宋体" w:hAnsi="宋体" w:eastAsia="宋体" w:cs="宋体"/>
          <w:sz w:val="21"/>
          <w:szCs w:val="21"/>
        </w:rPr>
        <w:t>兆瓦风电项目的议案》，同意公司全资子公司广西沃中投资有限公司的全资子公司广西吉投智慧能源科技有限公司投资建设广西邕宁那楼</w:t>
      </w:r>
      <w:r>
        <w:rPr>
          <w:rFonts w:hint="default" w:ascii="Times New Roman" w:hAnsi="Times New Roman" w:eastAsia="宋体" w:cs="Times New Roman"/>
          <w:sz w:val="21"/>
          <w:szCs w:val="21"/>
        </w:rPr>
        <w:t>200 </w:t>
      </w:r>
      <w:r>
        <w:rPr>
          <w:rFonts w:hint="eastAsia" w:ascii="宋体" w:hAnsi="宋体" w:eastAsia="宋体" w:cs="宋体"/>
          <w:sz w:val="21"/>
          <w:szCs w:val="21"/>
        </w:rPr>
        <w:t>兆瓦风电项目。项目工程动态投资</w:t>
      </w:r>
      <w:r>
        <w:rPr>
          <w:rFonts w:hint="default" w:ascii="Times New Roman" w:hAnsi="Times New Roman" w:eastAsia="宋体" w:cs="Times New Roman"/>
          <w:sz w:val="21"/>
          <w:szCs w:val="21"/>
        </w:rPr>
        <w:t xml:space="preserve">132,390.35 </w:t>
      </w:r>
      <w:r>
        <w:rPr>
          <w:rFonts w:hint="eastAsia" w:ascii="宋体" w:hAnsi="宋体" w:eastAsia="宋体" w:cs="宋体"/>
          <w:sz w:val="21"/>
          <w:szCs w:val="21"/>
        </w:rPr>
        <w:t>万元，项目资本金不低于工程动态总投资的</w:t>
      </w:r>
      <w:r>
        <w:rPr>
          <w:rFonts w:hint="default" w:ascii="Times New Roman" w:hAnsi="Times New Roman" w:eastAsia="宋体" w:cs="Times New Roman"/>
          <w:sz w:val="21"/>
          <w:szCs w:val="21"/>
        </w:rPr>
        <w:t>20%</w:t>
      </w:r>
      <w:r>
        <w:rPr>
          <w:rFonts w:hint="eastAsia" w:ascii="宋体" w:hAnsi="宋体" w:eastAsia="宋体" w:cs="宋体"/>
          <w:sz w:val="21"/>
          <w:szCs w:val="21"/>
        </w:rPr>
        <w:t>，其余建设资金通过长期贷款方式解决。资本金根据工程进展情况逐步注入。具体内容详见</w:t>
      </w:r>
      <w:r>
        <w:rPr>
          <w:rFonts w:hint="default" w:ascii="Times New Roman" w:hAnsi="Times New Roman" w:eastAsia="宋体" w:cs="Times New Roman"/>
          <w:sz w:val="21"/>
          <w:szCs w:val="21"/>
        </w:rPr>
        <w:t>2024</w:t>
      </w:r>
      <w:r>
        <w:rPr>
          <w:rFonts w:hint="eastAsia" w:ascii="宋体" w:hAnsi="宋体" w:eastAsia="宋体" w:cs="宋体"/>
          <w:sz w:val="21"/>
          <w:szCs w:val="21"/>
        </w:rPr>
        <w:t>年</w:t>
      </w:r>
      <w:r>
        <w:rPr>
          <w:rFonts w:hint="default" w:ascii="Times New Roman" w:hAnsi="Times New Roman" w:eastAsia="宋体" w:cs="Times New Roman"/>
          <w:sz w:val="21"/>
          <w:szCs w:val="21"/>
        </w:rPr>
        <w:t>1</w:t>
      </w:r>
      <w:r>
        <w:rPr>
          <w:rFonts w:hint="eastAsia" w:ascii="宋体" w:hAnsi="宋体" w:eastAsia="宋体" w:cs="宋体"/>
          <w:sz w:val="21"/>
          <w:szCs w:val="21"/>
        </w:rPr>
        <w:t>月</w:t>
      </w:r>
      <w:r>
        <w:rPr>
          <w:rFonts w:hint="default" w:ascii="Times New Roman" w:hAnsi="Times New Roman" w:eastAsia="宋体" w:cs="Times New Roman"/>
          <w:sz w:val="21"/>
          <w:szCs w:val="21"/>
        </w:rPr>
        <w:t>16</w:t>
      </w:r>
      <w:r>
        <w:rPr>
          <w:rFonts w:hint="eastAsia" w:ascii="宋体" w:hAnsi="宋体" w:eastAsia="宋体" w:cs="宋体"/>
          <w:sz w:val="21"/>
          <w:szCs w:val="21"/>
        </w:rPr>
        <w:t>日刊载于《中国证券报》《上海证券报》《证券时报》和巨潮资讯网（</w:t>
      </w:r>
      <w:r>
        <w:rPr>
          <w:rFonts w:hint="default" w:ascii="Times New Roman" w:hAnsi="Times New Roman" w:eastAsia="宋体" w:cs="Times New Roman"/>
          <w:sz w:val="21"/>
          <w:szCs w:val="21"/>
        </w:rPr>
        <w:t>www.cninfo.com.cn</w:t>
      </w:r>
      <w:r>
        <w:rPr>
          <w:rFonts w:hint="eastAsia" w:ascii="Times New Roman" w:hAnsi="Times New Roman" w:eastAsia="宋体" w:cs="Times New Roman"/>
          <w:sz w:val="21"/>
          <w:szCs w:val="21"/>
        </w:rPr>
        <w:t>）</w:t>
      </w:r>
      <w:r>
        <w:rPr>
          <w:rFonts w:hint="eastAsia" w:ascii="宋体" w:hAnsi="宋体" w:eastAsia="宋体" w:cs="宋体"/>
          <w:sz w:val="21"/>
          <w:szCs w:val="21"/>
        </w:rPr>
        <w:t>的公告</w:t>
      </w:r>
    </w:p>
    <w:p>
      <w:pPr>
        <w:pStyle w:val="5"/>
        <w:keepNext w:val="0"/>
        <w:keepLines w:val="0"/>
        <w:widowControl/>
        <w:suppressLineNumbers w:val="0"/>
        <w:spacing w:before="0" w:beforeAutospacing="0" w:after="0" w:afterAutospacing="0"/>
        <w:ind w:left="0" w:right="0" w:firstLine="420"/>
        <w:jc w:val="both"/>
        <w:rPr>
          <w:rFonts w:hint="default" w:ascii="宋体" w:hAnsi="宋体" w:eastAsia="宋体" w:cs="宋体"/>
          <w:sz w:val="21"/>
          <w:szCs w:val="21"/>
        </w:rPr>
      </w:pPr>
      <w:r>
        <w:rPr>
          <w:rFonts w:hint="eastAsia" w:ascii="宋体" w:hAnsi="宋体" w:eastAsia="宋体" w:cs="宋体"/>
          <w:sz w:val="21"/>
          <w:szCs w:val="21"/>
        </w:rPr>
        <w:t>3.2024年</w:t>
      </w:r>
      <w:r>
        <w:rPr>
          <w:rFonts w:hint="default" w:ascii="Times New Roman" w:hAnsi="Times New Roman" w:eastAsia="宋体" w:cs="Times New Roman"/>
          <w:sz w:val="21"/>
          <w:szCs w:val="21"/>
        </w:rPr>
        <w:t>5</w:t>
      </w:r>
      <w:r>
        <w:rPr>
          <w:rFonts w:hint="eastAsia" w:ascii="宋体" w:hAnsi="宋体" w:eastAsia="宋体" w:cs="宋体"/>
          <w:sz w:val="21"/>
          <w:szCs w:val="21"/>
        </w:rPr>
        <w:t>月</w:t>
      </w:r>
      <w:r>
        <w:rPr>
          <w:rFonts w:hint="default" w:ascii="Times New Roman" w:hAnsi="Times New Roman" w:eastAsia="宋体" w:cs="Times New Roman"/>
          <w:sz w:val="21"/>
          <w:szCs w:val="21"/>
        </w:rPr>
        <w:t>28</w:t>
      </w:r>
      <w:r>
        <w:rPr>
          <w:rFonts w:hint="eastAsia" w:ascii="宋体" w:hAnsi="宋体" w:eastAsia="宋体" w:cs="宋体"/>
          <w:sz w:val="21"/>
          <w:szCs w:val="21"/>
        </w:rPr>
        <w:t>日，本公司</w:t>
      </w:r>
      <w:r>
        <w:rPr>
          <w:rFonts w:hint="default" w:ascii="Times New Roman" w:hAnsi="Times New Roman" w:eastAsia="宋体" w:cs="Times New Roman"/>
          <w:sz w:val="21"/>
          <w:szCs w:val="21"/>
        </w:rPr>
        <w:t>2023</w:t>
      </w:r>
      <w:r>
        <w:rPr>
          <w:rFonts w:hint="eastAsia" w:ascii="宋体" w:hAnsi="宋体" w:eastAsia="宋体" w:cs="宋体"/>
          <w:sz w:val="21"/>
          <w:szCs w:val="21"/>
        </w:rPr>
        <w:t>年度股东大会审议通过了《关于投资建设山东潍坊风光储多能互补试点项目首批二期</w:t>
      </w:r>
      <w:r>
        <w:rPr>
          <w:rFonts w:hint="default" w:ascii="Times New Roman" w:hAnsi="Times New Roman" w:eastAsia="宋体" w:cs="Times New Roman"/>
          <w:sz w:val="21"/>
          <w:szCs w:val="21"/>
        </w:rPr>
        <w:t>250</w:t>
      </w:r>
      <w:r>
        <w:rPr>
          <w:rFonts w:hint="eastAsia" w:ascii="宋体" w:hAnsi="宋体" w:eastAsia="宋体" w:cs="宋体"/>
          <w:sz w:val="21"/>
          <w:szCs w:val="21"/>
        </w:rPr>
        <w:t>兆瓦风电项目的议案》，同意公司全资子公司山东吉电新能源有限公司控股子公司山东盛吉新能源有限公司的全资子公司吉电</w:t>
      </w:r>
      <w:r>
        <w:rPr>
          <w:rFonts w:hint="default" w:ascii="Times New Roman" w:hAnsi="Times New Roman" w:eastAsia="宋体" w:cs="Times New Roman"/>
          <w:sz w:val="21"/>
          <w:szCs w:val="21"/>
        </w:rPr>
        <w:t>(</w:t>
      </w:r>
      <w:r>
        <w:rPr>
          <w:rFonts w:hint="eastAsia" w:ascii="宋体" w:hAnsi="宋体" w:eastAsia="宋体" w:cs="宋体"/>
          <w:sz w:val="21"/>
          <w:szCs w:val="21"/>
        </w:rPr>
        <w:t>潍坊</w:t>
      </w:r>
      <w:r>
        <w:rPr>
          <w:rFonts w:hint="default" w:ascii="Times New Roman" w:hAnsi="Times New Roman" w:eastAsia="宋体" w:cs="Times New Roman"/>
          <w:sz w:val="21"/>
          <w:szCs w:val="21"/>
        </w:rPr>
        <w:t>)</w:t>
      </w:r>
      <w:r>
        <w:rPr>
          <w:rFonts w:hint="eastAsia" w:ascii="宋体" w:hAnsi="宋体" w:eastAsia="宋体" w:cs="宋体"/>
          <w:sz w:val="21"/>
          <w:szCs w:val="21"/>
        </w:rPr>
        <w:t>新能源科技有限公司投资建设山东潍坊风光储多能互补试点项目首批二期</w:t>
      </w:r>
      <w:r>
        <w:rPr>
          <w:rFonts w:hint="default" w:ascii="Times New Roman" w:hAnsi="Times New Roman" w:eastAsia="宋体" w:cs="Times New Roman"/>
          <w:sz w:val="21"/>
          <w:szCs w:val="21"/>
        </w:rPr>
        <w:t>250</w:t>
      </w:r>
      <w:r>
        <w:rPr>
          <w:rFonts w:hint="eastAsia" w:ascii="宋体" w:hAnsi="宋体" w:eastAsia="宋体" w:cs="宋体"/>
          <w:sz w:val="21"/>
          <w:szCs w:val="21"/>
        </w:rPr>
        <w:t>兆瓦风电项目。项目工程动态投资</w:t>
      </w:r>
      <w:r>
        <w:rPr>
          <w:rFonts w:hint="default" w:ascii="Times New Roman" w:hAnsi="Times New Roman" w:eastAsia="宋体" w:cs="Times New Roman"/>
          <w:sz w:val="21"/>
          <w:szCs w:val="21"/>
        </w:rPr>
        <w:t xml:space="preserve">218,369 </w:t>
      </w:r>
      <w:r>
        <w:rPr>
          <w:rFonts w:hint="eastAsia" w:ascii="宋体" w:hAnsi="宋体" w:eastAsia="宋体" w:cs="宋体"/>
          <w:sz w:val="21"/>
          <w:szCs w:val="21"/>
        </w:rPr>
        <w:t>万元，项目资本金不低于工程动态总投资的</w:t>
      </w:r>
      <w:r>
        <w:rPr>
          <w:rFonts w:hint="default" w:ascii="Times New Roman" w:hAnsi="Times New Roman" w:eastAsia="宋体" w:cs="Times New Roman"/>
          <w:sz w:val="21"/>
          <w:szCs w:val="21"/>
        </w:rPr>
        <w:t>20%</w:t>
      </w:r>
      <w:r>
        <w:rPr>
          <w:rFonts w:hint="eastAsia" w:ascii="宋体" w:hAnsi="宋体" w:eastAsia="宋体" w:cs="宋体"/>
          <w:sz w:val="21"/>
          <w:szCs w:val="21"/>
        </w:rPr>
        <w:t>，其余建设资金通过长期贷款方式解决。具体内容详见</w:t>
      </w:r>
      <w:r>
        <w:rPr>
          <w:rFonts w:hint="default" w:ascii="Times New Roman" w:hAnsi="Times New Roman" w:eastAsia="宋体" w:cs="Times New Roman"/>
          <w:sz w:val="21"/>
          <w:szCs w:val="21"/>
        </w:rPr>
        <w:t>2024</w:t>
      </w:r>
      <w:r>
        <w:rPr>
          <w:rFonts w:hint="eastAsia" w:ascii="宋体" w:hAnsi="宋体" w:eastAsia="宋体" w:cs="宋体"/>
          <w:sz w:val="21"/>
          <w:szCs w:val="21"/>
        </w:rPr>
        <w:t>年</w:t>
      </w:r>
      <w:r>
        <w:rPr>
          <w:rFonts w:hint="default" w:ascii="Times New Roman" w:hAnsi="Times New Roman" w:eastAsia="宋体" w:cs="Times New Roman"/>
          <w:sz w:val="21"/>
          <w:szCs w:val="21"/>
        </w:rPr>
        <w:t>5</w:t>
      </w:r>
      <w:r>
        <w:rPr>
          <w:rFonts w:hint="eastAsia" w:ascii="宋体" w:hAnsi="宋体" w:eastAsia="宋体" w:cs="宋体"/>
          <w:sz w:val="21"/>
          <w:szCs w:val="21"/>
        </w:rPr>
        <w:t>月</w:t>
      </w:r>
      <w:r>
        <w:rPr>
          <w:rFonts w:hint="default" w:ascii="Times New Roman" w:hAnsi="Times New Roman" w:eastAsia="宋体" w:cs="Times New Roman"/>
          <w:sz w:val="21"/>
          <w:szCs w:val="21"/>
        </w:rPr>
        <w:t>29</w:t>
      </w:r>
      <w:r>
        <w:rPr>
          <w:rFonts w:hint="eastAsia" w:ascii="宋体" w:hAnsi="宋体" w:eastAsia="宋体" w:cs="宋体"/>
          <w:sz w:val="21"/>
          <w:szCs w:val="21"/>
        </w:rPr>
        <w:t>日刊载于《中国证券报》《上海证券报》《证券时报》和巨潮资讯网（</w:t>
      </w:r>
      <w:r>
        <w:rPr>
          <w:rFonts w:hint="default" w:ascii="Times New Roman" w:hAnsi="Times New Roman" w:eastAsia="宋体" w:cs="Times New Roman"/>
          <w:sz w:val="21"/>
          <w:szCs w:val="21"/>
        </w:rPr>
        <w:t>www.cninfo.com.cn</w:t>
      </w:r>
      <w:r>
        <w:rPr>
          <w:rFonts w:hint="eastAsia" w:ascii="Times New Roman" w:hAnsi="Times New Roman" w:eastAsia="宋体" w:cs="Times New Roman"/>
          <w:sz w:val="21"/>
          <w:szCs w:val="21"/>
        </w:rPr>
        <w:t>）</w:t>
      </w:r>
      <w:r>
        <w:rPr>
          <w:rFonts w:hint="eastAsia" w:ascii="宋体" w:hAnsi="宋体" w:eastAsia="宋体" w:cs="宋体"/>
          <w:sz w:val="21"/>
          <w:szCs w:val="21"/>
        </w:rPr>
        <w:t>的公告</w:t>
      </w:r>
    </w:p>
    <w:p>
      <w:pPr>
        <w:pStyle w:val="5"/>
        <w:keepNext w:val="0"/>
        <w:keepLines w:val="0"/>
        <w:widowControl/>
        <w:suppressLineNumbers w:val="0"/>
        <w:spacing w:before="0" w:beforeAutospacing="0" w:after="0" w:afterAutospacing="0"/>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4.2024年</w:t>
      </w:r>
      <w:r>
        <w:rPr>
          <w:rFonts w:hint="default" w:ascii="Times New Roman" w:hAnsi="Times New Roman" w:eastAsia="宋体" w:cs="Times New Roman"/>
          <w:sz w:val="21"/>
          <w:szCs w:val="21"/>
        </w:rPr>
        <w:t>6</w:t>
      </w:r>
      <w:r>
        <w:rPr>
          <w:rFonts w:hint="eastAsia" w:ascii="宋体" w:hAnsi="宋体" w:eastAsia="宋体" w:cs="宋体"/>
          <w:sz w:val="21"/>
          <w:szCs w:val="21"/>
        </w:rPr>
        <w:t>月</w:t>
      </w:r>
      <w:r>
        <w:rPr>
          <w:rFonts w:hint="default" w:ascii="Times New Roman" w:hAnsi="Times New Roman" w:eastAsia="宋体" w:cs="Times New Roman"/>
          <w:sz w:val="21"/>
          <w:szCs w:val="21"/>
        </w:rPr>
        <w:t>14</w:t>
      </w:r>
      <w:r>
        <w:rPr>
          <w:rFonts w:hint="eastAsia" w:ascii="宋体" w:hAnsi="宋体" w:eastAsia="宋体" w:cs="宋体"/>
          <w:sz w:val="21"/>
          <w:szCs w:val="21"/>
        </w:rPr>
        <w:t>日，本公司</w:t>
      </w:r>
      <w:r>
        <w:rPr>
          <w:rFonts w:hint="default" w:ascii="Times New Roman" w:hAnsi="Times New Roman" w:eastAsia="宋体" w:cs="Times New Roman"/>
          <w:sz w:val="21"/>
          <w:szCs w:val="21"/>
        </w:rPr>
        <w:t>2024</w:t>
      </w:r>
      <w:r>
        <w:rPr>
          <w:rFonts w:hint="eastAsia" w:ascii="宋体" w:hAnsi="宋体" w:eastAsia="宋体" w:cs="宋体"/>
          <w:sz w:val="21"/>
          <w:szCs w:val="21"/>
        </w:rPr>
        <w:t>年第三次临时股东大会审议通过了《关于投资建设山东潍坊风光储多能互补试点项目首批三期</w:t>
      </w:r>
      <w:r>
        <w:rPr>
          <w:rFonts w:hint="default" w:ascii="Times New Roman" w:hAnsi="Times New Roman" w:eastAsia="宋体" w:cs="Times New Roman"/>
          <w:sz w:val="21"/>
          <w:szCs w:val="21"/>
        </w:rPr>
        <w:t>420</w:t>
      </w:r>
      <w:r>
        <w:rPr>
          <w:rFonts w:hint="eastAsia" w:ascii="宋体" w:hAnsi="宋体" w:eastAsia="宋体" w:cs="宋体"/>
          <w:sz w:val="21"/>
          <w:szCs w:val="21"/>
        </w:rPr>
        <w:t>兆瓦光伏项目的议案》，同意公司全资子公司山东吉电新能源有限公司控股子公司山东盛吉新能源有限公司的全资子公司吉电</w:t>
      </w:r>
      <w:r>
        <w:rPr>
          <w:rFonts w:hint="default" w:ascii="Times New Roman" w:hAnsi="Times New Roman" w:eastAsia="宋体" w:cs="Times New Roman"/>
          <w:sz w:val="21"/>
          <w:szCs w:val="21"/>
        </w:rPr>
        <w:t>(</w:t>
      </w:r>
      <w:r>
        <w:rPr>
          <w:rFonts w:hint="eastAsia" w:ascii="宋体" w:hAnsi="宋体" w:eastAsia="宋体" w:cs="宋体"/>
          <w:sz w:val="21"/>
          <w:szCs w:val="21"/>
        </w:rPr>
        <w:t>潍坊</w:t>
      </w:r>
      <w:r>
        <w:rPr>
          <w:rFonts w:hint="default" w:ascii="Times New Roman" w:hAnsi="Times New Roman" w:eastAsia="宋体" w:cs="Times New Roman"/>
          <w:sz w:val="21"/>
          <w:szCs w:val="21"/>
        </w:rPr>
        <w:t>)</w:t>
      </w:r>
      <w:r>
        <w:rPr>
          <w:rFonts w:hint="eastAsia" w:ascii="宋体" w:hAnsi="宋体" w:eastAsia="宋体" w:cs="宋体"/>
          <w:sz w:val="21"/>
          <w:szCs w:val="21"/>
        </w:rPr>
        <w:t>新能源科技有限公司拟投资建设山东潍坊风光储多能互补试点项目首批三期</w:t>
      </w:r>
      <w:r>
        <w:rPr>
          <w:rFonts w:hint="default" w:ascii="Times New Roman" w:hAnsi="Times New Roman" w:eastAsia="宋体" w:cs="Times New Roman"/>
          <w:sz w:val="21"/>
          <w:szCs w:val="21"/>
        </w:rPr>
        <w:t xml:space="preserve">420 </w:t>
      </w:r>
      <w:r>
        <w:rPr>
          <w:rFonts w:hint="eastAsia" w:ascii="宋体" w:hAnsi="宋体" w:eastAsia="宋体" w:cs="宋体"/>
          <w:sz w:val="21"/>
          <w:szCs w:val="21"/>
        </w:rPr>
        <w:t>兆瓦光伏项目，该项目工程动态投资</w:t>
      </w:r>
      <w:r>
        <w:rPr>
          <w:rFonts w:hint="default" w:ascii="Times New Roman" w:hAnsi="Times New Roman" w:eastAsia="宋体" w:cs="Times New Roman"/>
          <w:sz w:val="21"/>
          <w:szCs w:val="21"/>
        </w:rPr>
        <w:t>219,093</w:t>
      </w:r>
      <w:r>
        <w:rPr>
          <w:rFonts w:hint="eastAsia" w:ascii="宋体" w:hAnsi="宋体" w:eastAsia="宋体" w:cs="宋体"/>
          <w:sz w:val="21"/>
          <w:szCs w:val="21"/>
        </w:rPr>
        <w:t>万元。具体内容详见</w:t>
      </w:r>
      <w:r>
        <w:rPr>
          <w:rFonts w:hint="default" w:ascii="Times New Roman" w:hAnsi="Times New Roman" w:eastAsia="宋体" w:cs="Times New Roman"/>
          <w:sz w:val="21"/>
          <w:szCs w:val="21"/>
        </w:rPr>
        <w:t>2024</w:t>
      </w:r>
      <w:r>
        <w:rPr>
          <w:rFonts w:hint="eastAsia" w:ascii="宋体" w:hAnsi="宋体" w:eastAsia="宋体" w:cs="宋体"/>
          <w:sz w:val="21"/>
          <w:szCs w:val="21"/>
        </w:rPr>
        <w:t>年</w:t>
      </w:r>
      <w:r>
        <w:rPr>
          <w:rFonts w:hint="default" w:ascii="Times New Roman" w:hAnsi="Times New Roman" w:eastAsia="宋体" w:cs="Times New Roman"/>
          <w:sz w:val="21"/>
          <w:szCs w:val="21"/>
        </w:rPr>
        <w:t>6</w:t>
      </w:r>
      <w:r>
        <w:rPr>
          <w:rFonts w:hint="eastAsia" w:ascii="宋体" w:hAnsi="宋体" w:eastAsia="宋体" w:cs="宋体"/>
          <w:sz w:val="21"/>
          <w:szCs w:val="21"/>
        </w:rPr>
        <w:t>月</w:t>
      </w:r>
      <w:r>
        <w:rPr>
          <w:rFonts w:hint="default" w:ascii="Times New Roman" w:hAnsi="Times New Roman" w:eastAsia="宋体" w:cs="Times New Roman"/>
          <w:sz w:val="21"/>
          <w:szCs w:val="21"/>
        </w:rPr>
        <w:t>15</w:t>
      </w:r>
      <w:r>
        <w:rPr>
          <w:rFonts w:hint="eastAsia" w:ascii="宋体" w:hAnsi="宋体" w:eastAsia="宋体" w:cs="宋体"/>
          <w:sz w:val="21"/>
          <w:szCs w:val="21"/>
        </w:rPr>
        <w:t>日刊载于《中国证券报》《上海证券报》《证券时报》和巨潮资讯网（</w:t>
      </w:r>
      <w:r>
        <w:rPr>
          <w:rFonts w:hint="default" w:ascii="Times New Roman" w:hAnsi="Times New Roman" w:eastAsia="宋体" w:cs="Times New Roman"/>
          <w:sz w:val="21"/>
          <w:szCs w:val="21"/>
        </w:rPr>
        <w:t>www.cninfo.com.cn</w:t>
      </w:r>
      <w:r>
        <w:rPr>
          <w:rFonts w:hint="eastAsia" w:ascii="Times New Roman" w:hAnsi="Times New Roman" w:eastAsia="宋体" w:cs="Times New Roman"/>
          <w:sz w:val="21"/>
          <w:szCs w:val="21"/>
        </w:rPr>
        <w:t>）的公告</w:t>
      </w:r>
    </w:p>
    <w:p>
      <w:r>
        <w:br w:type="page"/>
      </w:r>
    </w:p>
    <w:p>
      <w:pPr>
        <w:keepNext/>
        <w:keepLines/>
        <w:spacing w:before="340" w:after="330" w:line="773" w:lineRule="exact"/>
        <w:jc w:val="center"/>
        <w:outlineLvl w:val="0"/>
        <w:rPr>
          <w:rFonts w:ascii="宋体" w:hAnsi="宋体" w:eastAsia="宋体" w:cs="宋体"/>
          <w:b/>
          <w:bCs/>
          <w:sz w:val="32"/>
          <w:szCs w:val="32"/>
        </w:rPr>
      </w:pPr>
      <w:bookmarkStart w:id="80" w:name="_Toc988969"/>
      <w:r>
        <w:rPr>
          <w:rFonts w:ascii="宋体" w:hAnsi="宋体" w:eastAsia="宋体" w:cs="宋体"/>
          <w:b/>
          <w:bCs/>
          <w:sz w:val="32"/>
          <w:szCs w:val="32"/>
        </w:rPr>
        <w:t>第七节 股份变动及股东情况</w:t>
      </w:r>
      <w:bookmarkEnd w:id="80"/>
    </w:p>
    <w:p>
      <w:pPr>
        <w:keepNext/>
        <w:keepLines/>
        <w:spacing w:before="300" w:after="300" w:line="320" w:lineRule="exact"/>
        <w:jc w:val="left"/>
        <w:outlineLvl w:val="1"/>
        <w:rPr>
          <w:rFonts w:ascii="宋体" w:hAnsi="宋体" w:eastAsia="宋体" w:cs="宋体"/>
          <w:b/>
          <w:bCs/>
          <w:sz w:val="24"/>
          <w:szCs w:val="24"/>
        </w:rPr>
      </w:pPr>
      <w:bookmarkStart w:id="81" w:name="_Toc988970"/>
      <w:r>
        <w:rPr>
          <w:rFonts w:ascii="宋体" w:hAnsi="宋体" w:eastAsia="宋体" w:cs="宋体"/>
          <w:b/>
          <w:bCs/>
          <w:sz w:val="24"/>
          <w:szCs w:val="24"/>
        </w:rPr>
        <w:t>一、股份变动情况</w:t>
      </w:r>
      <w:bookmarkEnd w:id="81"/>
    </w:p>
    <w:p>
      <w:pPr>
        <w:keepNext/>
        <w:keepLines/>
        <w:spacing w:before="300" w:after="300" w:line="280" w:lineRule="exact"/>
        <w:jc w:val="left"/>
        <w:outlineLvl w:val="2"/>
        <w:rPr>
          <w:rFonts w:ascii="宋体" w:hAnsi="宋体" w:eastAsia="宋体" w:cs="宋体"/>
          <w:b/>
          <w:bCs/>
          <w:sz w:val="21"/>
          <w:szCs w:val="21"/>
        </w:rPr>
      </w:pPr>
      <w:bookmarkStart w:id="82" w:name="_Toc988971"/>
      <w:r>
        <w:rPr>
          <w:rFonts w:ascii="宋体" w:hAnsi="宋体" w:eastAsia="宋体" w:cs="宋体"/>
          <w:b/>
          <w:bCs/>
          <w:sz w:val="21"/>
          <w:szCs w:val="21"/>
        </w:rPr>
        <w:t>1、股份变动情况</w:t>
      </w:r>
      <w:bookmarkEnd w:id="8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单位：股
</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4"/>
        <w:gridCol w:w="964"/>
        <w:gridCol w:w="964"/>
        <w:gridCol w:w="964"/>
        <w:gridCol w:w="964"/>
        <w:gridCol w:w="964"/>
        <w:gridCol w:w="964"/>
        <w:gridCol w:w="964"/>
        <w:gridCol w:w="964"/>
        <w:gridCol w:w="9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本次变动前</w:t>
            </w:r>
          </w:p>
        </w:tc>
        <w:tc>
          <w:tcPr>
            <w:tcW w:w="482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本次变动增减（＋，－）</w:t>
            </w:r>
          </w:p>
        </w:tc>
        <w:tc>
          <w:tcPr>
            <w:tcW w:w="1928"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本次变动后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发行新股</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送股</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公积金转股</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小计</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一、有限售条件股份</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344,602,457</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12.35%</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-344,360,582</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-344,360,582</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241,875</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1、国家持股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2、国有法人持股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309,877,699</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11.11%</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-309,877,699</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-309,877,699</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3、其他内资持股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34,724,758</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-34,482,883</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-34,482,883</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241,875</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其中：境内法人持股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境内自然人持股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242,000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241,875</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4、外资持股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其中：境外法人持股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境外自然人持股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二、无限售条件股份</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2,445,605,717</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87.65%</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344,360,582</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344,360,582</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2,789,966,299</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1、人民币普通股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2,445,605,717</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87.65%</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344,360,582</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344,360,582</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2,789,966,299</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2、境内上市的外资股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3、境外上市的外资股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4、其他</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三、股份总数</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股份变动的原因</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股份变动的批准情况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股份变动的过户情况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股份回购的实施进展情况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采用集中竞价方式减持回购股份的实施进展情况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股份变动对最近一年和最近一期基本每股收益和稀释每股收益、归属于公司普通股股东的每股净资产等财务指标的影响</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公司认为必要或证券监管机构要求披露的其他内容</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83" w:name="_Toc988972"/>
      <w:r>
        <w:rPr>
          <w:rFonts w:ascii="宋体" w:hAnsi="宋体" w:eastAsia="宋体" w:cs="宋体"/>
          <w:b/>
          <w:bCs/>
          <w:sz w:val="21"/>
          <w:szCs w:val="21"/>
        </w:rPr>
        <w:t>2、限售股份变动情况</w:t>
      </w:r>
      <w:bookmarkEnd w:id="83"/>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单位：股</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股东名称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期初限售股数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本期解除限售股数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本期增加限售股数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期末限售股数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限售原因</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解除限售日期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国家电投集团吉林能源投资有限公司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309,877,699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309,877,699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非公开发行股票限售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2024年4月15日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34,482,758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34,482,758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非公开发行股票限售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2024年4月15日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周宇翔</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高管人员股份锁定</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按照高管人员股份管理的相关规定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344,360,957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344,360,582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375</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r>
    </w:tbl>
    <w:p>
      <w:pPr>
        <w:keepNext/>
        <w:keepLines/>
        <w:spacing w:before="300" w:after="300" w:line="320" w:lineRule="exact"/>
        <w:jc w:val="left"/>
        <w:outlineLvl w:val="1"/>
        <w:rPr>
          <w:rFonts w:ascii="宋体" w:hAnsi="宋体" w:eastAsia="宋体" w:cs="宋体"/>
          <w:b/>
          <w:bCs/>
          <w:sz w:val="24"/>
          <w:szCs w:val="24"/>
        </w:rPr>
      </w:pPr>
      <w:bookmarkStart w:id="84" w:name="_Toc988973"/>
      <w:r>
        <w:rPr>
          <w:rFonts w:ascii="宋体" w:hAnsi="宋体" w:eastAsia="宋体" w:cs="宋体"/>
          <w:b/>
          <w:bCs/>
          <w:sz w:val="24"/>
          <w:szCs w:val="24"/>
        </w:rPr>
        <w:t>二、证券发行与上市情况</w:t>
      </w:r>
      <w:bookmarkEnd w:id="84"/>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85" w:name="_Toc988974"/>
      <w:r>
        <w:rPr>
          <w:rFonts w:ascii="宋体" w:hAnsi="宋体" w:eastAsia="宋体" w:cs="宋体"/>
          <w:b/>
          <w:bCs/>
          <w:sz w:val="24"/>
          <w:szCs w:val="24"/>
        </w:rPr>
        <w:t>三、公司股东数量及持股情况</w:t>
      </w:r>
      <w:bookmarkEnd w:id="85"/>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单位：股</w:t>
      </w:r>
    </w:p>
    <w:tbl>
      <w:tblPr>
        <w:tblStyle w:val="6"/>
        <w:tblW w:w="978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974"/>
        <w:gridCol w:w="13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报告期末普通股股东总数</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194,159</w:t>
            </w:r>
          </w:p>
        </w:tc>
        <w:tc>
          <w:tcPr>
            <w:tcW w:w="3213"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报告期末表决权恢复的优先股股东总数（如有）（参见注8）</w:t>
            </w:r>
          </w:p>
        </w:tc>
        <w:tc>
          <w:tcPr>
            <w:tcW w:w="2286"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783" w:type="dxa"/>
            <w:gridSpan w:val="9"/>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持股5%以上的普通股股东或前10名普通股股东持股情况（不含通过转融通出借股份）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股东名称</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股东性质</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持股比例</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报告期末持有的普通股数量</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报告期内增减变动情况</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持有有限售条件的普通股数量</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持有无限售条件的普通股数量</w:t>
            </w:r>
          </w:p>
        </w:tc>
        <w:tc>
          <w:tcPr>
            <w:tcW w:w="228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质押、标记或冻结情况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97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股份状态</w:t>
            </w:r>
          </w:p>
        </w:tc>
        <w:tc>
          <w:tcPr>
            <w:tcW w:w="131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国家电投集团吉林能源投资有限公司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国有法人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26.19%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730,872,327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730,872,327</w:t>
            </w:r>
          </w:p>
        </w:tc>
        <w:tc>
          <w:tcPr>
            <w:tcW w:w="97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3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国有法人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158,884,995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158,884,995</w:t>
            </w:r>
          </w:p>
        </w:tc>
        <w:tc>
          <w:tcPr>
            <w:tcW w:w="97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3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境内非国有法人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34,482,758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34,482,758</w:t>
            </w:r>
          </w:p>
        </w:tc>
        <w:tc>
          <w:tcPr>
            <w:tcW w:w="97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3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吉林省投资集团有限公司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国有法人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29,700,000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29,700,000</w:t>
            </w:r>
          </w:p>
        </w:tc>
        <w:tc>
          <w:tcPr>
            <w:tcW w:w="97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3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香港中央结算有限公司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境外法人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0.93%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25,869,888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6,946,948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25,869,888</w:t>
            </w:r>
          </w:p>
        </w:tc>
        <w:tc>
          <w:tcPr>
            <w:tcW w:w="97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3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中国电能成套设备有限公司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国有法人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0.88%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24,430,700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24,430,700</w:t>
            </w:r>
          </w:p>
        </w:tc>
        <w:tc>
          <w:tcPr>
            <w:tcW w:w="97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3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中国银行股份有限公司－华泰柏瑞中证光伏产业交易型开放式指数证券投资基金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0.73%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20,287,454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2,097,100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20,287,454</w:t>
            </w:r>
          </w:p>
        </w:tc>
        <w:tc>
          <w:tcPr>
            <w:tcW w:w="97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3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中信建投证券股份有限公司－天弘中证光伏产业指数型发起式证券投资基金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17,016,751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251,400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17,016,751</w:t>
            </w:r>
          </w:p>
        </w:tc>
        <w:tc>
          <w:tcPr>
            <w:tcW w:w="97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3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李泽文</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境内自然人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0.43%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12,092,900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12,092,900</w:t>
            </w:r>
          </w:p>
        </w:tc>
        <w:tc>
          <w:tcPr>
            <w:tcW w:w="97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3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郑捷文</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境内自然人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10,662,375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190,900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10,662,375</w:t>
            </w:r>
          </w:p>
        </w:tc>
        <w:tc>
          <w:tcPr>
            <w:tcW w:w="97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3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战略投资者或一般法人因配售新股成为前10名普通股股东的情况（如有）（参见注3）</w:t>
            </w:r>
          </w:p>
        </w:tc>
        <w:tc>
          <w:tcPr>
            <w:tcW w:w="7641"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上述前10名股东中，国家电投、财务公司、中国电能、吉林省投资集团有限公司，均通过</w:t>
            </w:r>
            <w:r>
              <w:rPr>
                <w:rFonts w:hint="eastAsia" w:ascii="宋体" w:hAnsi="宋体" w:cs="宋体"/>
                <w:sz w:val="18"/>
                <w:szCs w:val="18"/>
                <w:lang w:eastAsia="zh-CN"/>
              </w:rPr>
              <w:t>认购</w:t>
            </w:r>
            <w:r>
              <w:rPr>
                <w:rFonts w:ascii="宋体" w:hAnsi="宋体" w:eastAsia="宋体" w:cs="宋体"/>
                <w:sz w:val="18"/>
                <w:szCs w:val="18"/>
              </w:rPr>
              <w:t>非公开发行股票成为公司前10名股东。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上述股东关联关系或一致行动的说明</w:t>
            </w:r>
          </w:p>
        </w:tc>
        <w:tc>
          <w:tcPr>
            <w:tcW w:w="7641"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国家电投、吉林能投、财务公司、中国电能之间存在关联关系，属于《上市公司收购管理办法》规定的一致行动人。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上述股东涉及委托/受托表决权、放弃表决权情况的说明</w:t>
            </w:r>
          </w:p>
        </w:tc>
        <w:tc>
          <w:tcPr>
            <w:tcW w:w="7641"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前10名股东中存在回购专户的特别说明（如有）（参见注11）</w:t>
            </w:r>
          </w:p>
        </w:tc>
        <w:tc>
          <w:tcPr>
            <w:tcW w:w="7641"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783" w:type="dxa"/>
            <w:gridSpan w:val="9"/>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前10名无限售条件普通股股东持股情况（不含通过转融通出借股份、高管锁定股）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股东名称</w:t>
            </w:r>
          </w:p>
        </w:tc>
        <w:tc>
          <w:tcPr>
            <w:tcW w:w="5355" w:type="dxa"/>
            <w:gridSpan w:val="5"/>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报告期末持有无限售条件普通股股份数量</w:t>
            </w:r>
          </w:p>
        </w:tc>
        <w:tc>
          <w:tcPr>
            <w:tcW w:w="228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股份种类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355" w:type="dxa"/>
            <w:gridSpan w:val="5"/>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97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股份种类</w:t>
            </w:r>
          </w:p>
        </w:tc>
        <w:tc>
          <w:tcPr>
            <w:tcW w:w="131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国家电投集团吉林能源投资有限公司</w:t>
            </w:r>
          </w:p>
        </w:tc>
        <w:tc>
          <w:tcPr>
            <w:tcW w:w="5355"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730,872,327</w:t>
            </w:r>
          </w:p>
        </w:tc>
        <w:tc>
          <w:tcPr>
            <w:tcW w:w="97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人民币普通股</w:t>
            </w:r>
          </w:p>
        </w:tc>
        <w:tc>
          <w:tcPr>
            <w:tcW w:w="13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730,872,327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5355"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158,884,995</w:t>
            </w:r>
          </w:p>
        </w:tc>
        <w:tc>
          <w:tcPr>
            <w:tcW w:w="97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人民币普通股</w:t>
            </w:r>
          </w:p>
        </w:tc>
        <w:tc>
          <w:tcPr>
            <w:tcW w:w="13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158,884,995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5355"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34,482,758</w:t>
            </w:r>
          </w:p>
        </w:tc>
        <w:tc>
          <w:tcPr>
            <w:tcW w:w="97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人民币普通股</w:t>
            </w:r>
          </w:p>
        </w:tc>
        <w:tc>
          <w:tcPr>
            <w:tcW w:w="13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34,482,758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吉林省投资集团有限公司</w:t>
            </w:r>
          </w:p>
        </w:tc>
        <w:tc>
          <w:tcPr>
            <w:tcW w:w="5355"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29,700,000</w:t>
            </w:r>
          </w:p>
        </w:tc>
        <w:tc>
          <w:tcPr>
            <w:tcW w:w="97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人民币普通股</w:t>
            </w:r>
          </w:p>
        </w:tc>
        <w:tc>
          <w:tcPr>
            <w:tcW w:w="13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29,700,000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香港中央结算有限公司</w:t>
            </w:r>
          </w:p>
        </w:tc>
        <w:tc>
          <w:tcPr>
            <w:tcW w:w="5355"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25,869,888</w:t>
            </w:r>
          </w:p>
        </w:tc>
        <w:tc>
          <w:tcPr>
            <w:tcW w:w="97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人民币普通股</w:t>
            </w:r>
          </w:p>
        </w:tc>
        <w:tc>
          <w:tcPr>
            <w:tcW w:w="13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25,869,888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中国电能成套设备有限公司</w:t>
            </w:r>
          </w:p>
        </w:tc>
        <w:tc>
          <w:tcPr>
            <w:tcW w:w="5355"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24,430,700</w:t>
            </w:r>
          </w:p>
        </w:tc>
        <w:tc>
          <w:tcPr>
            <w:tcW w:w="97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人民币普通股</w:t>
            </w:r>
          </w:p>
        </w:tc>
        <w:tc>
          <w:tcPr>
            <w:tcW w:w="13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24,430,700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中国银行股份有限公司－华泰柏瑞中证光伏产业交易型开放式指数证券投资基金</w:t>
            </w:r>
          </w:p>
        </w:tc>
        <w:tc>
          <w:tcPr>
            <w:tcW w:w="5355"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20,287,454</w:t>
            </w:r>
          </w:p>
        </w:tc>
        <w:tc>
          <w:tcPr>
            <w:tcW w:w="97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人民币普通股</w:t>
            </w:r>
          </w:p>
        </w:tc>
        <w:tc>
          <w:tcPr>
            <w:tcW w:w="13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20,287,454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中信建投证券股份有限公司－天弘中证光伏产业指数型发起式证券投资基金</w:t>
            </w:r>
          </w:p>
        </w:tc>
        <w:tc>
          <w:tcPr>
            <w:tcW w:w="5355"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17,016,751</w:t>
            </w:r>
          </w:p>
        </w:tc>
        <w:tc>
          <w:tcPr>
            <w:tcW w:w="97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人民币普通股</w:t>
            </w:r>
          </w:p>
        </w:tc>
        <w:tc>
          <w:tcPr>
            <w:tcW w:w="13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17,016,751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李泽文</w:t>
            </w:r>
          </w:p>
        </w:tc>
        <w:tc>
          <w:tcPr>
            <w:tcW w:w="5355"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12,092,900</w:t>
            </w:r>
          </w:p>
        </w:tc>
        <w:tc>
          <w:tcPr>
            <w:tcW w:w="97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人民币普通股</w:t>
            </w:r>
          </w:p>
        </w:tc>
        <w:tc>
          <w:tcPr>
            <w:tcW w:w="13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12,092,900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郑捷文</w:t>
            </w:r>
          </w:p>
        </w:tc>
        <w:tc>
          <w:tcPr>
            <w:tcW w:w="5355"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10,662,375</w:t>
            </w:r>
          </w:p>
        </w:tc>
        <w:tc>
          <w:tcPr>
            <w:tcW w:w="97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人民币普通股</w:t>
            </w:r>
          </w:p>
        </w:tc>
        <w:tc>
          <w:tcPr>
            <w:tcW w:w="13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10,662,375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前10名无限售条件普通股股东之间，以及前10名无限售条件普通股股东和前10名普通股股东之间关联关系或一致行动的说明</w:t>
            </w:r>
          </w:p>
        </w:tc>
        <w:tc>
          <w:tcPr>
            <w:tcW w:w="7641"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吉林能投、国家电投、中国电能之间存在关联关系，属于《上市公司收购管理办法》规定的一致行动人。2.除此之外，未知其他股东之间是否存在关联关系，也未知是否属于《上市公司收购管理办法》规定的一致行动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前10名普通股股东参与融资融券业务情况说明（如有）（参见注4）</w:t>
            </w:r>
          </w:p>
        </w:tc>
        <w:tc>
          <w:tcPr>
            <w:tcW w:w="7641"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前10名无限售流通股东李泽文通过信用帐户持有本公司股份12,092,900股。2.前10名无限售流通股东郑捷文通过信用帐户持有本公司股份10,471,475股，通过普通证券帐户持有公司股份190,900股，合计持有本公司股份10,662,375股。</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持股5%以上股东、前10名股东及前10名无限售流通股股东参与转融通业务出借股份情况</w:t>
      </w:r>
    </w:p>
    <w:p>
      <w:pPr>
        <w:spacing w:before="0" w:after="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单位：股</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160"/>
        <w:gridCol w:w="982"/>
        <w:gridCol w:w="1071"/>
        <w:gridCol w:w="1071"/>
        <w:gridCol w:w="1136"/>
        <w:gridCol w:w="1006"/>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9" w:type="dxa"/>
            <w:gridSpan w:val="9"/>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持股5%以上股东、前10名股东及前10名无限售流通股股东参与转融通业务出借股份情况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股东名称（全称）</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期初普通账户、信用账户持股</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期初转融通出借股份且尚未归还</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期末普通账户、信用账户持股</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期末转融通出借股份且尚未归还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16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数量合计</w:t>
            </w:r>
          </w:p>
        </w:tc>
        <w:tc>
          <w:tcPr>
            <w:tcW w:w="98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占总股本的比例</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数量合计</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占总股本的比例</w:t>
            </w:r>
          </w:p>
        </w:tc>
        <w:tc>
          <w:tcPr>
            <w:tcW w:w="113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数量合计</w:t>
            </w:r>
          </w:p>
        </w:tc>
        <w:tc>
          <w:tcPr>
            <w:tcW w:w="10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占总股本的比例</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数量合计</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占总股本的比例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中国银行股份有限公司－华泰柏瑞中证光伏产业交易型开放式指数证券投资基金</w:t>
            </w:r>
          </w:p>
        </w:tc>
        <w:tc>
          <w:tcPr>
            <w:tcW w:w="11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18,190,354</w:t>
            </w:r>
          </w:p>
        </w:tc>
        <w:tc>
          <w:tcPr>
            <w:tcW w:w="98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3,366,900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0.12%</w:t>
            </w:r>
          </w:p>
        </w:tc>
        <w:tc>
          <w:tcPr>
            <w:tcW w:w="113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20,287,454</w:t>
            </w:r>
          </w:p>
        </w:tc>
        <w:tc>
          <w:tcPr>
            <w:tcW w:w="10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0.73%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25,700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中信建投证券股份有限公司－天弘中证光伏产业指数型发起式证券投资基金</w:t>
            </w:r>
          </w:p>
        </w:tc>
        <w:tc>
          <w:tcPr>
            <w:tcW w:w="11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16,765,351</w:t>
            </w:r>
          </w:p>
        </w:tc>
        <w:tc>
          <w:tcPr>
            <w:tcW w:w="98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548,500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w:t>
            </w:r>
            <w:r>
              <w:rPr>
                <w:rFonts w:hint="eastAsia" w:ascii="宋体" w:hAnsi="宋体" w:cs="宋体"/>
                <w:sz w:val="18"/>
                <w:szCs w:val="18"/>
                <w:lang w:val="en-US" w:eastAsia="zh-CN"/>
              </w:rPr>
              <w:t>2</w:t>
            </w:r>
            <w:r>
              <w:rPr>
                <w:rFonts w:ascii="宋体" w:hAnsi="宋体" w:eastAsia="宋体" w:cs="宋体"/>
                <w:sz w:val="18"/>
                <w:szCs w:val="18"/>
              </w:rPr>
              <w:t>%</w:t>
            </w:r>
          </w:p>
        </w:tc>
        <w:tc>
          <w:tcPr>
            <w:tcW w:w="113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17,016,751</w:t>
            </w:r>
          </w:p>
        </w:tc>
        <w:tc>
          <w:tcPr>
            <w:tcW w:w="10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1,023,300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0.04%</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前10名股东及前10名无限售流通股股东因转融通出借/归还原因导致较上期发生变化</w:t>
      </w:r>
    </w:p>
    <w:p>
      <w:pPr>
        <w:spacing w:before="0" w:after="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公司前10名普通股股东、前10名无限售条件普通股股东在报告期内是否进行约定购回交易</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公司前10名普通股股东、前10名无限售条件普通股股东在报告期内未进行约定购回交易。</w:t>
      </w:r>
    </w:p>
    <w:p>
      <w:pPr>
        <w:keepNext/>
        <w:keepLines/>
        <w:spacing w:before="300" w:after="300" w:line="320" w:lineRule="exact"/>
        <w:jc w:val="left"/>
        <w:outlineLvl w:val="1"/>
        <w:rPr>
          <w:rFonts w:ascii="宋体" w:hAnsi="宋体" w:eastAsia="宋体" w:cs="宋体"/>
          <w:b/>
          <w:bCs/>
          <w:sz w:val="24"/>
          <w:szCs w:val="24"/>
        </w:rPr>
      </w:pPr>
      <w:bookmarkStart w:id="86" w:name="_Toc988975"/>
      <w:r>
        <w:rPr>
          <w:rFonts w:ascii="宋体" w:hAnsi="宋体" w:eastAsia="宋体" w:cs="宋体"/>
          <w:b/>
          <w:bCs/>
          <w:sz w:val="24"/>
          <w:szCs w:val="24"/>
        </w:rPr>
        <w:t>四、董事、监事和高级管理人员持股变动</w:t>
      </w:r>
      <w:bookmarkEnd w:id="86"/>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公司董事、监事和高级管理人员在报告期持股情况没有发生变动，具体可参见2023年年报。</w:t>
      </w:r>
    </w:p>
    <w:p>
      <w:pPr>
        <w:keepNext/>
        <w:keepLines/>
        <w:spacing w:before="300" w:after="300" w:line="320" w:lineRule="exact"/>
        <w:jc w:val="left"/>
        <w:outlineLvl w:val="1"/>
        <w:rPr>
          <w:rFonts w:ascii="宋体" w:hAnsi="宋体" w:eastAsia="宋体" w:cs="宋体"/>
          <w:b/>
          <w:bCs/>
          <w:sz w:val="24"/>
          <w:szCs w:val="24"/>
        </w:rPr>
      </w:pPr>
      <w:bookmarkStart w:id="87" w:name="_Toc988976"/>
      <w:r>
        <w:rPr>
          <w:rFonts w:ascii="宋体" w:hAnsi="宋体" w:eastAsia="宋体" w:cs="宋体"/>
          <w:b/>
          <w:bCs/>
          <w:sz w:val="24"/>
          <w:szCs w:val="24"/>
        </w:rPr>
        <w:t>五、控股股东或实际控制人变更情况</w:t>
      </w:r>
      <w:bookmarkEnd w:id="87"/>
    </w:p>
    <w:p>
      <w:pPr>
        <w:spacing w:before="40" w:after="40" w:line="240" w:lineRule="exact"/>
        <w:jc w:val="left"/>
        <w:rPr>
          <w:rFonts w:ascii="宋体" w:hAnsi="宋体" w:eastAsia="宋体" w:cs="宋体"/>
          <w:sz w:val="18"/>
          <w:szCs w:val="18"/>
        </w:rPr>
      </w:pPr>
      <w:r>
        <w:rPr>
          <w:rFonts w:ascii="宋体" w:hAnsi="宋体" w:eastAsia="宋体" w:cs="宋体"/>
          <w:sz w:val="18"/>
          <w:szCs w:val="18"/>
        </w:rPr>
        <w:t>控股股东报告期内变更</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公司报告期控股股东未发生变更。</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实际控制人报告期内变更</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公司报告期实际控制人未发生变更。</w:t>
      </w:r>
    </w:p>
    <w:p>
      <w:r>
        <w:br w:type="page"/>
      </w:r>
    </w:p>
    <w:p>
      <w:pPr>
        <w:keepNext/>
        <w:keepLines/>
        <w:spacing w:before="340" w:after="330" w:line="773" w:lineRule="exact"/>
        <w:jc w:val="center"/>
        <w:outlineLvl w:val="0"/>
        <w:rPr>
          <w:rFonts w:ascii="宋体" w:hAnsi="宋体" w:eastAsia="宋体" w:cs="宋体"/>
          <w:b/>
          <w:bCs/>
          <w:sz w:val="32"/>
          <w:szCs w:val="32"/>
        </w:rPr>
      </w:pPr>
      <w:bookmarkStart w:id="88" w:name="_Toc988977"/>
      <w:r>
        <w:rPr>
          <w:rFonts w:ascii="宋体" w:hAnsi="宋体" w:eastAsia="宋体" w:cs="宋体"/>
          <w:b/>
          <w:bCs/>
          <w:sz w:val="32"/>
          <w:szCs w:val="32"/>
        </w:rPr>
        <w:t>第八节 优先股相关情况</w:t>
      </w:r>
      <w:bookmarkEnd w:id="88"/>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0" w:after="0" w:line="240" w:lineRule="exact"/>
        <w:jc w:val="left"/>
        <w:rPr>
          <w:rFonts w:ascii="宋体" w:hAnsi="宋体" w:eastAsia="宋体" w:cs="宋体"/>
          <w:sz w:val="18"/>
          <w:szCs w:val="18"/>
        </w:rPr>
      </w:pPr>
      <w:r>
        <w:rPr>
          <w:rFonts w:ascii="宋体" w:hAnsi="宋体" w:eastAsia="宋体" w:cs="宋体"/>
          <w:sz w:val="18"/>
          <w:szCs w:val="18"/>
        </w:rPr>
        <w:t>报告期公司不存在优先股。</w:t>
      </w:r>
    </w:p>
    <w:p>
      <w:r>
        <w:br w:type="page"/>
      </w:r>
    </w:p>
    <w:p>
      <w:pPr>
        <w:keepNext/>
        <w:keepLines/>
        <w:spacing w:before="340" w:after="330" w:line="773" w:lineRule="exact"/>
        <w:jc w:val="center"/>
        <w:outlineLvl w:val="0"/>
        <w:rPr>
          <w:rFonts w:ascii="宋体" w:hAnsi="宋体" w:eastAsia="宋体" w:cs="宋体"/>
          <w:b/>
          <w:bCs/>
          <w:sz w:val="32"/>
          <w:szCs w:val="32"/>
        </w:rPr>
      </w:pPr>
      <w:bookmarkStart w:id="89" w:name="_Toc988978"/>
      <w:r>
        <w:rPr>
          <w:rFonts w:ascii="宋体" w:hAnsi="宋体" w:eastAsia="宋体" w:cs="宋体"/>
          <w:b/>
          <w:bCs/>
          <w:sz w:val="32"/>
          <w:szCs w:val="32"/>
        </w:rPr>
        <w:t>第九节 债券相关情况</w:t>
      </w:r>
      <w:bookmarkEnd w:id="89"/>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keepNext/>
        <w:keepLines/>
        <w:spacing w:before="300" w:after="300" w:line="320" w:lineRule="exact"/>
        <w:jc w:val="left"/>
        <w:outlineLvl w:val="1"/>
        <w:rPr>
          <w:rFonts w:ascii="宋体" w:hAnsi="宋体" w:eastAsia="宋体" w:cs="宋体"/>
          <w:b/>
          <w:bCs/>
          <w:sz w:val="24"/>
          <w:szCs w:val="24"/>
        </w:rPr>
      </w:pPr>
      <w:bookmarkStart w:id="90" w:name="_Toc988979"/>
      <w:r>
        <w:rPr>
          <w:rFonts w:ascii="宋体" w:hAnsi="宋体" w:eastAsia="宋体" w:cs="宋体"/>
          <w:b/>
          <w:bCs/>
          <w:sz w:val="24"/>
          <w:szCs w:val="24"/>
        </w:rPr>
        <w:t>一、企业债券</w:t>
      </w:r>
      <w:bookmarkEnd w:id="90"/>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0" w:after="0" w:line="240" w:lineRule="exact"/>
        <w:jc w:val="left"/>
        <w:rPr>
          <w:rFonts w:ascii="宋体" w:hAnsi="宋体" w:eastAsia="宋体" w:cs="宋体"/>
          <w:sz w:val="18"/>
          <w:szCs w:val="18"/>
        </w:rPr>
      </w:pPr>
      <w:r>
        <w:rPr>
          <w:rFonts w:ascii="宋体" w:hAnsi="宋体" w:eastAsia="宋体" w:cs="宋体"/>
          <w:sz w:val="18"/>
          <w:szCs w:val="18"/>
        </w:rPr>
        <w:t>报告期公司不存在企业债券。</w:t>
      </w:r>
    </w:p>
    <w:p>
      <w:pPr>
        <w:keepNext/>
        <w:keepLines/>
        <w:spacing w:before="300" w:after="300" w:line="320" w:lineRule="exact"/>
        <w:jc w:val="left"/>
        <w:outlineLvl w:val="1"/>
        <w:rPr>
          <w:rFonts w:ascii="宋体" w:hAnsi="宋体" w:eastAsia="宋体" w:cs="宋体"/>
          <w:b/>
          <w:bCs/>
          <w:sz w:val="24"/>
          <w:szCs w:val="24"/>
        </w:rPr>
      </w:pPr>
      <w:bookmarkStart w:id="91" w:name="_Toc988980"/>
      <w:r>
        <w:rPr>
          <w:rFonts w:ascii="宋体" w:hAnsi="宋体" w:eastAsia="宋体" w:cs="宋体"/>
          <w:b/>
          <w:bCs/>
          <w:sz w:val="24"/>
          <w:szCs w:val="24"/>
        </w:rPr>
        <w:t>二、公司债券</w:t>
      </w:r>
      <w:bookmarkEnd w:id="91"/>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keepNext/>
        <w:keepLines/>
        <w:spacing w:before="300" w:after="300" w:line="280" w:lineRule="exact"/>
        <w:jc w:val="left"/>
        <w:outlineLvl w:val="2"/>
        <w:rPr>
          <w:rFonts w:ascii="宋体" w:hAnsi="宋体" w:eastAsia="宋体" w:cs="宋体"/>
          <w:b/>
          <w:bCs/>
          <w:sz w:val="21"/>
          <w:szCs w:val="21"/>
        </w:rPr>
      </w:pPr>
      <w:bookmarkStart w:id="92" w:name="_Toc988981"/>
      <w:r>
        <w:rPr>
          <w:rFonts w:ascii="宋体" w:hAnsi="宋体" w:eastAsia="宋体" w:cs="宋体"/>
          <w:b/>
          <w:bCs/>
          <w:sz w:val="21"/>
          <w:szCs w:val="21"/>
        </w:rPr>
        <w:t>1、公司债券基本信息</w:t>
      </w:r>
      <w:bookmarkEnd w:id="92"/>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单位：万元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4"/>
        <w:gridCol w:w="964"/>
        <w:gridCol w:w="964"/>
        <w:gridCol w:w="964"/>
        <w:gridCol w:w="964"/>
        <w:gridCol w:w="964"/>
        <w:gridCol w:w="964"/>
        <w:gridCol w:w="964"/>
        <w:gridCol w:w="964"/>
        <w:gridCol w:w="9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债券名称</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债券简称</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债券代码</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发行日</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起息日</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到期日</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债券余额</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利率</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还本付息方式</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交易场所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吉林电力股份有限公司2022年面向专业投资者公开发行绿色公司债券(专项用于碳中和)(第一期）</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22吉电G1</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149848</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2022年03月17日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2022年03月18日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2027年03月18日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3.80%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本期债券采用单利按年计息，不计复利。每年付息一次，到期一次还本，最后一期利息随本金的兑付一起支付。</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深圳证券交易所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吉林电力股份有限公司2022年面向专业投资者公开发行绿色乡村振兴公司债券（专项用于碳中和）（第二期</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22吉电G2</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148096</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2022年10月21日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2022年10月24日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2025年10月24日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2.90%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本期债券采用单利按年计息，不计复利。每年付息一次，到期一次还本，最后一期利息随本金的兑付一起支付。</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深圳证券交易所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吉林电力股份有限公司2023年面向专业机构投资者公开发行科技创新绿色乡村振兴公司债券(专项用于碳中和)(第一期)</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23吉电GCKV01</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148530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2023年11月30日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2023年12月01日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2026年12月01日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2.99%</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本期债券采用单利按年计息，不计复利。每年付息一次，到期一次还本，最后一期利息随本金的兑付一起支付。</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深圳证券交易所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892"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投资者适当性安排（如有）</w:t>
            </w:r>
          </w:p>
        </w:tc>
        <w:tc>
          <w:tcPr>
            <w:tcW w:w="6748"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面向专业机构投资者交易的债券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892"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适用的交易机制</w:t>
            </w:r>
          </w:p>
        </w:tc>
        <w:tc>
          <w:tcPr>
            <w:tcW w:w="6748"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匹配、协商、点击、询价、竞买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892"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是否存在终止上市交易的风险（如有）和应对措施</w:t>
            </w:r>
          </w:p>
        </w:tc>
        <w:tc>
          <w:tcPr>
            <w:tcW w:w="6748"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逾期未偿还债券</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93" w:name="_Toc988982"/>
      <w:r>
        <w:rPr>
          <w:rFonts w:ascii="宋体" w:hAnsi="宋体" w:eastAsia="宋体" w:cs="宋体"/>
          <w:b/>
          <w:bCs/>
          <w:sz w:val="21"/>
          <w:szCs w:val="21"/>
        </w:rPr>
        <w:t>2、发行人或投资者选择权条款、投资者保护条款的触发和执行情况</w:t>
      </w:r>
      <w:bookmarkEnd w:id="93"/>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94" w:name="_Toc988983"/>
      <w:r>
        <w:rPr>
          <w:rFonts w:ascii="宋体" w:hAnsi="宋体" w:eastAsia="宋体" w:cs="宋体"/>
          <w:b/>
          <w:bCs/>
          <w:sz w:val="21"/>
          <w:szCs w:val="21"/>
        </w:rPr>
        <w:t>3、报告期内信用评级结果调整情况</w:t>
      </w:r>
      <w:bookmarkEnd w:id="94"/>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95" w:name="_Toc988984"/>
      <w:r>
        <w:rPr>
          <w:rFonts w:ascii="宋体" w:hAnsi="宋体" w:eastAsia="宋体" w:cs="宋体"/>
          <w:b/>
          <w:bCs/>
          <w:sz w:val="21"/>
          <w:szCs w:val="21"/>
        </w:rPr>
        <w:t>4、担保情况、偿债计划及其他偿债保障措施在报告期内的执行情况和变化情况及对债券投资者权益的影响</w:t>
      </w:r>
      <w:bookmarkEnd w:id="95"/>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keepNext w:val="0"/>
        <w:keepLines w:val="0"/>
        <w:pageBreakBefore w:val="0"/>
        <w:widowControl w:val="0"/>
        <w:kinsoku/>
        <w:wordWrap/>
        <w:overflowPunct/>
        <w:topLinePunct w:val="0"/>
        <w:autoSpaceDE/>
        <w:autoSpaceDN/>
        <w:bidi w:val="0"/>
        <w:adjustRightInd/>
        <w:snapToGrid/>
        <w:spacing w:before="0" w:after="0" w:line="240" w:lineRule="exact"/>
        <w:ind w:firstLine="420" w:firstLineChars="200"/>
        <w:jc w:val="left"/>
        <w:textAlignment w:val="auto"/>
        <w:rPr>
          <w:rFonts w:hint="eastAsia" w:ascii="宋体" w:hAnsi="宋体" w:eastAsia="宋体" w:cs="宋体"/>
          <w:sz w:val="21"/>
          <w:szCs w:val="21"/>
        </w:rPr>
      </w:pPr>
      <w:bookmarkStart w:id="96" w:name="_Toc988985"/>
      <w:r>
        <w:rPr>
          <w:rFonts w:hint="eastAsia" w:ascii="宋体" w:hAnsi="宋体" w:eastAsia="宋体" w:cs="宋体"/>
          <w:sz w:val="21"/>
          <w:szCs w:val="21"/>
        </w:rPr>
        <w:t>1、吉林电力股份有限公司2022年面向专业投资者公开发行绿色公司债券（专项用于碳中和）（第一期）</w:t>
      </w:r>
    </w:p>
    <w:p>
      <w:pPr>
        <w:keepNext w:val="0"/>
        <w:keepLines w:val="0"/>
        <w:pageBreakBefore w:val="0"/>
        <w:widowControl w:val="0"/>
        <w:kinsoku/>
        <w:wordWrap/>
        <w:overflowPunct/>
        <w:topLinePunct w:val="0"/>
        <w:autoSpaceDE/>
        <w:autoSpaceDN/>
        <w:bidi w:val="0"/>
        <w:adjustRightInd/>
        <w:snapToGrid/>
        <w:spacing w:before="0" w:after="0" w:line="2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本期公司债券募集资金总规模为10亿元，募集资金扣除发行费用后已投放94,750万元用于风力发电项目，其余用于补充绿色产业领域流动资金。募投项目2024年上半年度运行情况如下：本期公司债券已投项目2024年上半年度上网电量合计为67,375.70万kWh，经测算，与同等火力发电上网电量相比，2024年上半年度可实现减排二氧化碳50.63万吨，节约标准煤20.26万吨，减排SO255.92吨，减排NOx89.61吨，减排烟尘11.45吨。本期碳中和绿色公司债券募投项目的总投资规模为464,285.00万元，募集资金中9.475亿元用于清洁能源发电类项目，按照实际使用资金和项目总投资比例折算后加和，2024年上半年度已建成项目可实现减排二氧化碳10.64万吨，节约标准煤4.20万吨，减排SO211.60吨，减排NOx18.59吨，减排烟尘2.38吨。</w:t>
      </w:r>
    </w:p>
    <w:p>
      <w:pPr>
        <w:keepNext w:val="0"/>
        <w:keepLines w:val="0"/>
        <w:pageBreakBefore w:val="0"/>
        <w:widowControl w:val="0"/>
        <w:kinsoku/>
        <w:wordWrap/>
        <w:overflowPunct/>
        <w:topLinePunct w:val="0"/>
        <w:autoSpaceDE/>
        <w:autoSpaceDN/>
        <w:bidi w:val="0"/>
        <w:adjustRightInd/>
        <w:snapToGrid/>
        <w:spacing w:before="0" w:after="0" w:line="2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2、吉林电力股份有限公司2022年面向专业投资者公开发行绿色乡村振兴公司债券（专项用于碳中和）（第二期）</w:t>
      </w:r>
    </w:p>
    <w:p>
      <w:pPr>
        <w:keepNext w:val="0"/>
        <w:keepLines w:val="0"/>
        <w:pageBreakBefore w:val="0"/>
        <w:widowControl w:val="0"/>
        <w:kinsoku/>
        <w:wordWrap/>
        <w:overflowPunct/>
        <w:topLinePunct w:val="0"/>
        <w:autoSpaceDE/>
        <w:autoSpaceDN/>
        <w:bidi w:val="0"/>
        <w:adjustRightInd/>
        <w:snapToGrid/>
        <w:spacing w:before="0" w:after="0" w:line="2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本期公司债券，募集资金总规模为10亿元，募集资金扣除发行费用后已投放7亿元用于乡村振兴区域的光伏发电和风电项目，其余用于补充公司日常绿色产业领域运营的流动资金及偿还绿色产业领域借款本息。募投项目2024年上半年度运行情况如下：本期公司债券已建成的已投项目2024年上半年度上网电量为74,145.21万kWh，经测算，与同等火力发电上网电量相比已建成项目2024年上半年度可实现减排二氧化碳54.92万吨，节约标准煤22.30万吨，减排SO261.54吨，减排NOx98.61吨，减排烟尘12.60吨。本期碳中和绿色公司债券募投项目的总投资规模为432,588.39万元，本期碳中和绿色公司债券募集资金中7亿元用于清洁能源发电类项目，按照实际使用资金和项目总投资比例折算后加和，2024年上半年度已建成项目可实现减排二氧化碳7.39万吨，节约标准煤3.15万吨，减排SO28.69吨，减排NOx13.92吨，减排烟尘1.78吨。</w:t>
      </w:r>
    </w:p>
    <w:p>
      <w:pPr>
        <w:keepNext w:val="0"/>
        <w:keepLines w:val="0"/>
        <w:pageBreakBefore w:val="0"/>
        <w:widowControl w:val="0"/>
        <w:kinsoku/>
        <w:wordWrap/>
        <w:overflowPunct/>
        <w:topLinePunct w:val="0"/>
        <w:autoSpaceDE/>
        <w:autoSpaceDN/>
        <w:bidi w:val="0"/>
        <w:adjustRightInd/>
        <w:snapToGrid/>
        <w:spacing w:before="0" w:after="0" w:line="2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本期公司债券募投项目为可再生能源风力发电及光伏发电项目，有助于支持发展脱贫地区乡村特色产业，推动光伏产业与乡村振兴的进一步融合，通过产业的投入包括风电场、光伏电站开发阶段的施工和后期的运行及维护，促进脱贫人口稳定就业，改善脱贫地区基础设施条件，解决无电人口和贫困地区用电，提升脱贫基础设施等。</w:t>
      </w:r>
    </w:p>
    <w:p>
      <w:pPr>
        <w:keepNext w:val="0"/>
        <w:keepLines w:val="0"/>
        <w:pageBreakBefore w:val="0"/>
        <w:widowControl w:val="0"/>
        <w:kinsoku/>
        <w:wordWrap/>
        <w:overflowPunct/>
        <w:topLinePunct w:val="0"/>
        <w:autoSpaceDE/>
        <w:autoSpaceDN/>
        <w:bidi w:val="0"/>
        <w:adjustRightInd/>
        <w:snapToGrid/>
        <w:spacing w:before="0" w:after="0" w:line="2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3、吉林电力股份有限公司2023年面向专业机构投资者公开发行科技创新绿色乡村振兴公司债券(专项用于碳中和)(第一期)</w:t>
      </w:r>
    </w:p>
    <w:p>
      <w:pPr>
        <w:keepNext w:val="0"/>
        <w:keepLines w:val="0"/>
        <w:pageBreakBefore w:val="0"/>
        <w:widowControl w:val="0"/>
        <w:kinsoku/>
        <w:wordWrap/>
        <w:overflowPunct/>
        <w:topLinePunct w:val="0"/>
        <w:autoSpaceDE/>
        <w:autoSpaceDN/>
        <w:bidi w:val="0"/>
        <w:adjustRightInd/>
        <w:snapToGrid/>
        <w:spacing w:before="0" w:after="0" w:line="2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本期公司债券募集资金总规模为5亿元，募集资金扣除相关发行费用后，募集资金4.78亿元用于偿还公司下属子公司清洁能源类绿色项目的前期借款，其余部分用于补充公司日常绿色产业领域运营的流动资金。募投项目2024年上半年度运行情况如下：本期公司债券已建成的已投项目2024年上半年度上网电量为52,835.18万kWh，经测算，与同等火力发电上网电量相比已建成项目2024年上半年度可实现减排二氧化碳40.37万吨，节约标准煤15.89万吨，减排SO243.85吨，减排NOx70.27吨，减排烟尘8.98吨。本期碳中和绿色公司债券募投项目总投资为274,200.00万元，募集资金47,800.00万元用于上述户用分布式光伏电站项目，按照实际使用资金和项目总投资比例折算后加和，2024年上半年度已建成项目可实现减排二氧化碳7.18万吨，节约标准煤2.81万吨，减排SO27.75吨，减排NOx12.43吨，减排烟尘1.59吨。</w:t>
      </w:r>
    </w:p>
    <w:p>
      <w:pPr>
        <w:keepNext w:val="0"/>
        <w:keepLines w:val="0"/>
        <w:pageBreakBefore w:val="0"/>
        <w:widowControl w:val="0"/>
        <w:kinsoku/>
        <w:wordWrap/>
        <w:overflowPunct/>
        <w:topLinePunct w:val="0"/>
        <w:autoSpaceDE/>
        <w:autoSpaceDN/>
        <w:bidi w:val="0"/>
        <w:adjustRightInd/>
        <w:snapToGrid/>
        <w:spacing w:before="0" w:after="0" w:line="2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本期公司债券募投项目为光伏发电项目，有助于支持发展脱贫地区乡村特色产业，推动新能源产业与乡村振兴的进一步融合，通过产业的投入包括光伏电站开发阶段的施工和后期的运行及维护，促进脱贫人口稳定就业，改善脱贫地区基础设施条件，解决无电人口和贫困地区用电，提升脱贫基础设施等。</w:t>
      </w:r>
    </w:p>
    <w:p>
      <w:pPr>
        <w:keepNext w:val="0"/>
        <w:keepLines w:val="0"/>
        <w:pageBreakBefore w:val="0"/>
        <w:widowControl w:val="0"/>
        <w:kinsoku/>
        <w:wordWrap/>
        <w:overflowPunct/>
        <w:topLinePunct w:val="0"/>
        <w:autoSpaceDE/>
        <w:autoSpaceDN/>
        <w:bidi w:val="0"/>
        <w:adjustRightInd/>
        <w:snapToGrid/>
        <w:spacing w:before="0" w:after="0" w:line="2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本期公司债券为科技创新类债券，募集资金未直接用于科技创新项目。本期公司债券募集资金的使用对于公司能源结构调整、实现高质量发展、继续提升科技创新能力有着积极促进作用。</w:t>
      </w:r>
    </w:p>
    <w:p>
      <w:pPr>
        <w:keepNext/>
        <w:keepLines/>
        <w:spacing w:before="300" w:after="300" w:line="320" w:lineRule="exact"/>
        <w:jc w:val="left"/>
        <w:outlineLvl w:val="1"/>
        <w:rPr>
          <w:rFonts w:ascii="宋体" w:hAnsi="宋体" w:eastAsia="宋体" w:cs="宋体"/>
          <w:b/>
          <w:bCs/>
          <w:sz w:val="24"/>
          <w:szCs w:val="24"/>
        </w:rPr>
      </w:pPr>
      <w:r>
        <w:rPr>
          <w:rFonts w:ascii="宋体" w:hAnsi="宋体" w:eastAsia="宋体" w:cs="宋体"/>
          <w:b/>
          <w:bCs/>
          <w:sz w:val="24"/>
          <w:szCs w:val="24"/>
        </w:rPr>
        <w:t>三、非金融企业债务融资工具</w:t>
      </w:r>
      <w:bookmarkEnd w:id="96"/>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keepNext/>
        <w:keepLines/>
        <w:spacing w:before="300" w:after="300" w:line="280" w:lineRule="exact"/>
        <w:jc w:val="left"/>
        <w:outlineLvl w:val="2"/>
        <w:rPr>
          <w:rFonts w:ascii="宋体" w:hAnsi="宋体" w:eastAsia="宋体" w:cs="宋体"/>
          <w:b/>
          <w:bCs/>
          <w:sz w:val="21"/>
          <w:szCs w:val="21"/>
        </w:rPr>
      </w:pPr>
      <w:bookmarkStart w:id="97" w:name="_Toc988986"/>
      <w:r>
        <w:rPr>
          <w:rFonts w:ascii="宋体" w:hAnsi="宋体" w:eastAsia="宋体" w:cs="宋体"/>
          <w:b/>
          <w:bCs/>
          <w:sz w:val="21"/>
          <w:szCs w:val="21"/>
        </w:rPr>
        <w:t>1、非金融企业债务融资工具基本信息</w:t>
      </w:r>
      <w:bookmarkEnd w:id="97"/>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单位：万元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4"/>
        <w:gridCol w:w="964"/>
        <w:gridCol w:w="964"/>
        <w:gridCol w:w="964"/>
        <w:gridCol w:w="964"/>
        <w:gridCol w:w="964"/>
        <w:gridCol w:w="964"/>
        <w:gridCol w:w="964"/>
        <w:gridCol w:w="964"/>
        <w:gridCol w:w="9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债券名称</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债券简称</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债券代码</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发行日</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起息日</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到期日</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债券余额</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利率</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还本付息方式</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交易场所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吉林电力股份有限公司2023 年度第一期中期票据（可持续挂钩/乡村振兴）</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23吉林电力MTN001(可持续挂钩)</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102382646</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2023年09月26日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2023年09月27日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2026年09月27日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3.28%</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每年付息一次，到期一次还本</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银行间债券市场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吉林电力股份有限公司2023年度第三期超短期融资券</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23吉林电力SCP003</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12384511</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2023年12月18日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2023年12月19日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2024年01月18日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2.98%</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到期一次还本付息</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银行间债券市场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吉林电力股份有限公司2024年度第一期超短期融资券</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24吉林电力SCP001</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12480678</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2024年02月29日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2024年03月01日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2024年03月29日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2.18%</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到期一次还本付息</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银行间债券市场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吉林电力股份有限公司2024年度第二期超短期融资券</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24吉林电力SCP002</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12481377</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2024年04月19日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2024年04月22日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2024年05月31日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1.93%</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到期一次还本付息</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银行间债券市场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892"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投资者适当性安排（如有）</w:t>
            </w:r>
          </w:p>
        </w:tc>
        <w:tc>
          <w:tcPr>
            <w:tcW w:w="6748"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境内合格机构投资者（国家法律、法规及部门规章等另有规定的除外）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892"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适用的交易机制</w:t>
            </w:r>
          </w:p>
        </w:tc>
        <w:tc>
          <w:tcPr>
            <w:tcW w:w="6748"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892"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是否存在终止上市交易的风险（如有）和应对措施</w:t>
            </w:r>
          </w:p>
        </w:tc>
        <w:tc>
          <w:tcPr>
            <w:tcW w:w="6748"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逾期未偿还债券</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98" w:name="_Toc988987"/>
      <w:r>
        <w:rPr>
          <w:rFonts w:ascii="宋体" w:hAnsi="宋体" w:eastAsia="宋体" w:cs="宋体"/>
          <w:b/>
          <w:bCs/>
          <w:sz w:val="21"/>
          <w:szCs w:val="21"/>
        </w:rPr>
        <w:t>2、发行人或投资者选择权条款、投资者保护条款的触发和执行情况</w:t>
      </w:r>
      <w:bookmarkEnd w:id="98"/>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99" w:name="_Toc988988"/>
      <w:r>
        <w:rPr>
          <w:rFonts w:ascii="宋体" w:hAnsi="宋体" w:eastAsia="宋体" w:cs="宋体"/>
          <w:b/>
          <w:bCs/>
          <w:sz w:val="21"/>
          <w:szCs w:val="21"/>
        </w:rPr>
        <w:t>3、报告期内信用评级结果调整情况</w:t>
      </w:r>
      <w:bookmarkEnd w:id="99"/>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100" w:name="_Toc988989"/>
      <w:r>
        <w:rPr>
          <w:rFonts w:ascii="宋体" w:hAnsi="宋体" w:eastAsia="宋体" w:cs="宋体"/>
          <w:b/>
          <w:bCs/>
          <w:sz w:val="21"/>
          <w:szCs w:val="21"/>
        </w:rPr>
        <w:t>4、担保情况、偿债计划及其他偿债保障措施在报告期内的执行情况和变化情况及对债券投资者权益的影响</w:t>
      </w:r>
      <w:bookmarkEnd w:id="100"/>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101" w:name="_Toc988990"/>
      <w:r>
        <w:rPr>
          <w:rFonts w:ascii="宋体" w:hAnsi="宋体" w:eastAsia="宋体" w:cs="宋体"/>
          <w:b/>
          <w:bCs/>
          <w:sz w:val="24"/>
          <w:szCs w:val="24"/>
        </w:rPr>
        <w:t>四、可转换公司债券</w:t>
      </w:r>
      <w:bookmarkEnd w:id="101"/>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0" w:after="0" w:line="240" w:lineRule="exact"/>
        <w:jc w:val="left"/>
        <w:rPr>
          <w:rFonts w:ascii="宋体" w:hAnsi="宋体" w:eastAsia="宋体" w:cs="宋体"/>
          <w:sz w:val="18"/>
          <w:szCs w:val="18"/>
        </w:rPr>
      </w:pPr>
      <w:r>
        <w:rPr>
          <w:rFonts w:ascii="宋体" w:hAnsi="宋体" w:eastAsia="宋体" w:cs="宋体"/>
          <w:sz w:val="18"/>
          <w:szCs w:val="18"/>
        </w:rPr>
        <w:t>报告期公司不存在可转换公司债券。</w:t>
      </w:r>
    </w:p>
    <w:p>
      <w:pPr>
        <w:keepNext/>
        <w:keepLines/>
        <w:spacing w:before="300" w:after="300" w:line="320" w:lineRule="exact"/>
        <w:jc w:val="left"/>
        <w:outlineLvl w:val="1"/>
        <w:rPr>
          <w:rFonts w:ascii="宋体" w:hAnsi="宋体" w:eastAsia="宋体" w:cs="宋体"/>
          <w:b/>
          <w:bCs/>
          <w:sz w:val="24"/>
          <w:szCs w:val="24"/>
        </w:rPr>
      </w:pPr>
      <w:bookmarkStart w:id="102" w:name="_Toc988991"/>
      <w:r>
        <w:rPr>
          <w:rFonts w:ascii="宋体" w:hAnsi="宋体" w:eastAsia="宋体" w:cs="宋体"/>
          <w:b/>
          <w:bCs/>
          <w:sz w:val="24"/>
          <w:szCs w:val="24"/>
        </w:rPr>
        <w:t>五、报告期内合并报表范围亏损超过上年末净资产10%</w:t>
      </w:r>
      <w:bookmarkEnd w:id="102"/>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103" w:name="_Toc988992"/>
      <w:r>
        <w:rPr>
          <w:rFonts w:ascii="宋体" w:hAnsi="宋体" w:eastAsia="宋体" w:cs="宋体"/>
          <w:b/>
          <w:bCs/>
          <w:sz w:val="24"/>
          <w:szCs w:val="24"/>
        </w:rPr>
        <w:t>六、截至报告期末公司近两年的主要会计数据和财务指标</w:t>
      </w:r>
      <w:bookmarkEnd w:id="10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单位：万元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本报告期末</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上年末</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本报告期末比上年末增减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流动比率</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0.8126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0.6319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资产负债率</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73.61%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74.29%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速动比率</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0.7949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0.6238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上年同期</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本报告期比上年同期增减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扣除非经常性损益后净利润</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103,183.59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86,702.66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EBITDA全部债务比</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利息保障倍数</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现金利息保障倍数</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EBITDA利息保障倍数</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贷款偿还率</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利息偿付率</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bl>
    <w:p>
      <w:r>
        <w:br w:type="page"/>
      </w:r>
    </w:p>
    <w:p>
      <w:pPr>
        <w:keepNext/>
        <w:keepLines/>
        <w:spacing w:before="340" w:after="330" w:line="773" w:lineRule="exact"/>
        <w:jc w:val="center"/>
        <w:outlineLvl w:val="0"/>
        <w:rPr>
          <w:rFonts w:ascii="宋体" w:hAnsi="宋体" w:eastAsia="宋体" w:cs="宋体"/>
          <w:b/>
          <w:bCs/>
          <w:sz w:val="32"/>
          <w:szCs w:val="32"/>
        </w:rPr>
      </w:pPr>
      <w:bookmarkStart w:id="104" w:name="_Toc988993"/>
      <w:r>
        <w:rPr>
          <w:rFonts w:ascii="宋体" w:hAnsi="宋体" w:eastAsia="宋体" w:cs="宋体"/>
          <w:b/>
          <w:bCs/>
          <w:sz w:val="32"/>
          <w:szCs w:val="32"/>
        </w:rPr>
        <w:t>第十节 财务报告</w:t>
      </w:r>
      <w:bookmarkEnd w:id="104"/>
    </w:p>
    <w:p>
      <w:pPr>
        <w:keepNext/>
        <w:keepLines/>
        <w:spacing w:before="300" w:after="300" w:line="320" w:lineRule="exact"/>
        <w:jc w:val="left"/>
        <w:outlineLvl w:val="1"/>
        <w:rPr>
          <w:rFonts w:ascii="宋体" w:hAnsi="宋体" w:eastAsia="宋体" w:cs="宋体"/>
          <w:b/>
          <w:bCs/>
          <w:sz w:val="24"/>
          <w:szCs w:val="24"/>
        </w:rPr>
      </w:pPr>
      <w:bookmarkStart w:id="105" w:name="_Toc988994"/>
      <w:r>
        <w:rPr>
          <w:rFonts w:ascii="宋体" w:hAnsi="宋体" w:eastAsia="宋体" w:cs="宋体"/>
          <w:b/>
          <w:bCs/>
          <w:sz w:val="24"/>
          <w:szCs w:val="24"/>
        </w:rPr>
        <w:t>一、审计报告</w:t>
      </w:r>
      <w:bookmarkEnd w:id="105"/>
    </w:p>
    <w:p>
      <w:pPr>
        <w:spacing w:before="40" w:after="40" w:line="240" w:lineRule="exact"/>
        <w:jc w:val="left"/>
        <w:rPr>
          <w:rFonts w:ascii="宋体" w:hAnsi="宋体" w:eastAsia="宋体" w:cs="宋体"/>
          <w:sz w:val="18"/>
          <w:szCs w:val="18"/>
        </w:rPr>
      </w:pPr>
      <w:r>
        <w:rPr>
          <w:rFonts w:ascii="宋体" w:hAnsi="宋体" w:eastAsia="宋体" w:cs="宋体"/>
          <w:sz w:val="18"/>
          <w:szCs w:val="18"/>
        </w:rPr>
        <w:t>半年度报告是否经过审计</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公司半年度财务报告未经审计。</w:t>
      </w:r>
    </w:p>
    <w:p>
      <w:pPr>
        <w:keepNext/>
        <w:keepLines/>
        <w:spacing w:before="300" w:after="300" w:line="320" w:lineRule="exact"/>
        <w:jc w:val="left"/>
        <w:outlineLvl w:val="1"/>
        <w:rPr>
          <w:rFonts w:ascii="宋体" w:hAnsi="宋体" w:eastAsia="宋体" w:cs="宋体"/>
          <w:b/>
          <w:bCs/>
          <w:sz w:val="24"/>
          <w:szCs w:val="24"/>
        </w:rPr>
      </w:pPr>
      <w:bookmarkStart w:id="106" w:name="_Toc988995"/>
      <w:r>
        <w:rPr>
          <w:rFonts w:ascii="宋体" w:hAnsi="宋体" w:eastAsia="宋体" w:cs="宋体"/>
          <w:b/>
          <w:bCs/>
          <w:sz w:val="24"/>
          <w:szCs w:val="24"/>
        </w:rPr>
        <w:t>二、财务报表</w:t>
      </w:r>
      <w:bookmarkEnd w:id="106"/>
    </w:p>
    <w:p>
      <w:pPr>
        <w:spacing w:before="40" w:after="40" w:line="240" w:lineRule="exact"/>
        <w:jc w:val="left"/>
        <w:rPr>
          <w:rFonts w:ascii="宋体" w:hAnsi="宋体" w:eastAsia="宋体" w:cs="宋体"/>
          <w:sz w:val="18"/>
          <w:szCs w:val="18"/>
        </w:rPr>
      </w:pPr>
      <w:r>
        <w:rPr>
          <w:rFonts w:ascii="宋体" w:hAnsi="宋体" w:eastAsia="宋体" w:cs="宋体"/>
          <w:sz w:val="18"/>
          <w:szCs w:val="18"/>
        </w:rPr>
        <w:t>财务附注中报表的单位为：元</w:t>
      </w:r>
    </w:p>
    <w:p>
      <w:pPr>
        <w:keepNext/>
        <w:keepLines/>
        <w:spacing w:before="300" w:after="300" w:line="280" w:lineRule="exact"/>
        <w:jc w:val="left"/>
        <w:outlineLvl w:val="2"/>
        <w:rPr>
          <w:rFonts w:ascii="宋体" w:hAnsi="宋体" w:eastAsia="宋体" w:cs="宋体"/>
          <w:b/>
          <w:bCs/>
          <w:sz w:val="21"/>
          <w:szCs w:val="21"/>
        </w:rPr>
      </w:pPr>
      <w:bookmarkStart w:id="107" w:name="_Toc988996"/>
      <w:r>
        <w:rPr>
          <w:rFonts w:ascii="宋体" w:hAnsi="宋体" w:eastAsia="宋体" w:cs="宋体"/>
          <w:b/>
          <w:bCs/>
          <w:sz w:val="21"/>
          <w:szCs w:val="21"/>
        </w:rPr>
        <w:t>1、合并资产负债表</w:t>
      </w:r>
      <w:bookmarkEnd w:id="107"/>
    </w:p>
    <w:p>
      <w:pPr>
        <w:spacing w:before="0" w:after="0" w:line="240" w:lineRule="exact"/>
        <w:jc w:val="left"/>
        <w:rPr>
          <w:rFonts w:ascii="宋体" w:hAnsi="宋体" w:eastAsia="宋体" w:cs="宋体"/>
          <w:sz w:val="18"/>
          <w:szCs w:val="18"/>
        </w:rPr>
      </w:pPr>
      <w:r>
        <w:rPr>
          <w:rFonts w:ascii="宋体" w:hAnsi="宋体" w:eastAsia="宋体" w:cs="宋体"/>
          <w:sz w:val="18"/>
          <w:szCs w:val="18"/>
        </w:rPr>
        <w:t>编制单位：吉林电力股份有限公司</w:t>
      </w:r>
    </w:p>
    <w:p>
      <w:pPr>
        <w:spacing w:before="0" w:after="0" w:line="240" w:lineRule="exact"/>
        <w:jc w:val="center"/>
        <w:rPr>
          <w:rFonts w:ascii="宋体" w:hAnsi="宋体" w:eastAsia="宋体" w:cs="宋体"/>
          <w:sz w:val="18"/>
          <w:szCs w:val="18"/>
        </w:rPr>
      </w:pPr>
      <w:r>
        <w:rPr>
          <w:rFonts w:ascii="宋体" w:hAnsi="宋体" w:eastAsia="宋体" w:cs="宋体"/>
          <w:sz w:val="18"/>
          <w:szCs w:val="18"/>
        </w:rPr>
        <w:t>2024年06月30日</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流动资产：</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货币资金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1,399,583,690.67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1,099,505,306.89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结算备付金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拆出资金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交易性金融资产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衍生金融资产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38,204,076.03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74,334,035.63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10,043,689,634.79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8,410,067,658.38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应收款项融资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预付款项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268,567,225.85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255,951,809.87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应收保费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应收分保账款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应收分保合同准备金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其他应收款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153,413,278.89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151,110,003.33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其中：应收利息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应收股利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买入返售金融资产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存货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282,929,531.71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141,150,921.85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其中：数据资源</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合同资产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持有待售资产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一年内到期的非流动资产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797,035,070.41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895,043,977.43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流动资产合计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12,984,422,508.35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11,028,163,713.38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非流动资产：</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发放贷款和垫款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债权投资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其他债权投资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长期应收款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126,805,090.00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129,855,090.00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长期股权投资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1,254,992,879.27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1,185,083,287.35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其他权益工具投资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334,535,783.49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334,535,783.49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其他非流动金融资产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投资性房地产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固定资产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51,626,667,880.86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51,760,401,506.12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在建工程</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6,598,388,615.01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5,992,940,288.83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生产性生物资产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油气资产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使用权资产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1,500,472,128.46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1,458,156,827.63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无形资产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1,731,603,800.15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1,720,598,199.12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其中：数据资源</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开发支出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20,960,497.31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21,765,033.06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其中：数据资源</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商誉</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4,621,652.28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4,621,652.28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长期待摊费用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287,296,787.49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303,106,168.93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递延所得税资产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91,915,091.13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90,245,147.85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其他非流动资产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3,167,789,572.66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2,721,912,885.24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非流动资产合计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66,746,049,778.11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65,723,221,869.90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资产总计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79,730,472,286.46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76,751,385,583.28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流动负债：</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短期借款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5,889,774,885.02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6,373,744,656.75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向中央银行借款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拆入资金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交易性金融负债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衍生金融负债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3,102,798,905.16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3,275,449,369.21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预收款项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合同负债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42,676,841.82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390,395,891.87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卖出回购金融资产款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吸收存款及同业存放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代理买卖证券款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代理承销证券款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应付职工薪酬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103,801,779.91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68,958,525.53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应交税费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187,526,362.71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182,152,512.20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1,011,459,661.40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1,024,336,440.29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其中：应付利息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应付股利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76,352,969.89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36,129,493.10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应付手续费及佣金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应付分保账款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持有待售负债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一年内到期的非流动负债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5,621,696,863.80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5,396,098,943.90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19,512,602.03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731,892,728.37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15,979,247,901.85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17,453,029,068.12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非流动负债：</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保险合同准备金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36,354,754,159.63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32,966,891,576.41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应付债券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3,513,152,379.56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3,492,884,947.57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其中：优先股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永续债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3,492,884,947.57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租赁负债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987,622,214.16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969,372,890.45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1,655,204,823.23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1,932,670,940.63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长期应付职工薪酬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1,795,648.85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1,795,648.85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预计负债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递延收益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62,115,173.15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58,324,199.38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递延所得税负债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135,036,099.19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140,621,401.07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42,709,680,497.77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39,562,561,604.36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58,688,928,399.62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57,015,590,672.48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所有者权益：</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股本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其他权益工具</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其中：优先股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900" w:firstLineChars="500"/>
              <w:jc w:val="left"/>
              <w:rPr>
                <w:rFonts w:ascii="宋体" w:hAnsi="宋体" w:eastAsia="宋体" w:cs="宋体"/>
                <w:sz w:val="18"/>
                <w:szCs w:val="18"/>
              </w:rPr>
            </w:pPr>
            <w:r>
              <w:rPr>
                <w:rFonts w:ascii="宋体" w:hAnsi="宋体" w:eastAsia="宋体" w:cs="宋体"/>
                <w:sz w:val="18"/>
                <w:szCs w:val="18"/>
              </w:rPr>
              <w:t>永续债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资本公积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7,037,910,334.71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7,037,910,334.71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减：库存股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6,516,414.58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6,516,414.58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专项储备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71,366,893.93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23,095,372.82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盈余公积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104,632,743.32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104,632,743.32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一般风险准备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未分配利润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2,930,706,570.06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1,836,141,587.57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归属于母公司所有者权益合计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12,941,341,130.60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11,798,504,627.00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少数股东权益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8,100,202,756.24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7,937,290,283.80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所有者权益合计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21,041,543,886.84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19,735,794,910.80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负债和所有者权益总计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79,730,472,286.46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76,751,385,583.28</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法定代表人：牛国君    主管会计工作负责人：谢晶      会计机构负责人：于杭</w:t>
      </w:r>
    </w:p>
    <w:p>
      <w:pPr>
        <w:keepNext/>
        <w:keepLines/>
        <w:spacing w:before="300" w:after="300" w:line="320" w:lineRule="exact"/>
        <w:jc w:val="left"/>
        <w:outlineLvl w:val="2"/>
        <w:rPr>
          <w:rFonts w:ascii="宋体" w:hAnsi="宋体" w:eastAsia="宋体" w:cs="宋体"/>
          <w:b/>
          <w:bCs/>
          <w:sz w:val="24"/>
          <w:szCs w:val="24"/>
        </w:rPr>
      </w:pPr>
      <w:bookmarkStart w:id="108" w:name="_Toc988997"/>
      <w:r>
        <w:rPr>
          <w:rFonts w:ascii="宋体" w:hAnsi="宋体" w:eastAsia="宋体" w:cs="宋体"/>
          <w:b/>
          <w:bCs/>
          <w:sz w:val="24"/>
          <w:szCs w:val="24"/>
        </w:rPr>
        <w:t>2、母公司资产负债表</w:t>
      </w:r>
      <w:bookmarkEnd w:id="10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流动资产：</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货币资金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546,265,151.49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77,891,493.49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交易性金融资产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衍生金融资产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520,364.57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557,979,816.97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560,553,976.53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应收款项融资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预付款项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115,727,878.91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128,416,271.05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其他应收款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7,075,968,591.30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8,350,467,503.10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其中：应收利息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应收股利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124,152,908.66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75,556,235.46</w:t>
            </w:r>
          </w:p>
        </w:tc>
      </w:tr>
      <w:tr>
        <w:tblPrEx>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存货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167,503,534.67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62,552,381.57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其中：数据资源</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合同资产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持有待售资产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一年内到期的非流动资产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14,283,062.16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21,554,169.02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流动资产合计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8,479,248,400.07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9,202,635,794.76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非流动资产：</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债权投资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其他债权投资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长期应收款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长期股权投资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17,390,587,459.63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16,292,596,713.49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其他权益工具投资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334,535,783.49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334,535,783.49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其他非流动金融资产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投资性房地产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固定资产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6,514,694,792.08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6,834,693,675.27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在建工程</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562,164,644.62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495,571,128.29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生产性生物资产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油气资产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使用权资产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6,086,648.17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6,429,276.24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无形资产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174,810,700.57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180,243,320.84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其中：数据资源</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开发支出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3,874,136.44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3,874,136.44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其中：数据资源</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商誉</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长期待摊费用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递延所得税资产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其他非流动资产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59,680,139.32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30,137,308.68</w:t>
            </w:r>
          </w:p>
        </w:tc>
      </w:tr>
      <w:tr>
        <w:tblPrEx>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非流动资产合计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25,076,434,304.32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24,208,081,342.74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资产总计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33,555,682,704.39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33,410,717,137.50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流动负债：</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短期借款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4,988,234,332.44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5,001,320,705.27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交易性金融负债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衍生金融负债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343,479,084.70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476,854,351.77</w:t>
            </w:r>
          </w:p>
        </w:tc>
      </w:tr>
      <w:tr>
        <w:tblPrEx>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预收款项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合同负债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1,666,759.85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205,983,964.07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应付职工薪酬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51,934,728.72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40,132,969.54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应交税费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10,581,952.06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11,646,343.39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1,600,554,386.14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1,911,459,117.15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其中：应付利息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应付股利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12,844,315.42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12,844,315.42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持有待售负债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一年内到期的非流动负债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2,935,674,977.83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2,397,656,886.21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6,207,397.13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719,263,106.48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9,938,333,618.87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10,764,317,443.88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非流动负债：</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9,088,186,036.48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8,869,174,000.00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应付债券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3,513,152,379.56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3,492,884,947.57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其中：优先股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永续债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租赁负债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66,354,879.97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178,628,168.91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长期应付职工薪酬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1,795,648.85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1,795,648.85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预计负债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递延收益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13,639,020.10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14,270,668.06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递延所得税负债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2,172,138.20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2,172,138.20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12,685,300,103.16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12,558,925,571.59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22,623,633,722.03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23,323,243,015.47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所有者权益：</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股本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其他权益工具</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其中：优先股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900" w:firstLineChars="500"/>
              <w:jc w:val="left"/>
              <w:rPr>
                <w:rFonts w:ascii="宋体" w:hAnsi="宋体" w:eastAsia="宋体" w:cs="宋体"/>
                <w:sz w:val="18"/>
                <w:szCs w:val="18"/>
              </w:rPr>
            </w:pPr>
            <w:r>
              <w:rPr>
                <w:rFonts w:ascii="宋体" w:hAnsi="宋体" w:eastAsia="宋体" w:cs="宋体"/>
                <w:sz w:val="18"/>
                <w:szCs w:val="18"/>
              </w:rPr>
              <w:t>永续债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资本公积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7,129,408,029.05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7,129,408,029.05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减：库存股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6,516,414.58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6,516,414.58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专项储备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17,049,050.80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850,286.52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盈余公积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104,632,743.32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104,632,743.32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未分配利润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884,234,570.61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55,858,474.56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所有者权益合计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10,932,048,982.36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10,087,474,122.03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负债和所有者权益总计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33,555,682,704.39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33,410,717,137.50</w:t>
            </w:r>
          </w:p>
        </w:tc>
      </w:tr>
    </w:tbl>
    <w:p>
      <w:pPr>
        <w:keepNext/>
        <w:keepLines/>
        <w:spacing w:before="300" w:after="300" w:line="280" w:lineRule="exact"/>
        <w:jc w:val="left"/>
        <w:outlineLvl w:val="2"/>
        <w:rPr>
          <w:rFonts w:ascii="宋体" w:hAnsi="宋体" w:eastAsia="宋体" w:cs="宋体"/>
          <w:b/>
          <w:bCs/>
          <w:sz w:val="21"/>
          <w:szCs w:val="21"/>
        </w:rPr>
      </w:pPr>
      <w:bookmarkStart w:id="109" w:name="_Toc988998"/>
      <w:r>
        <w:rPr>
          <w:rFonts w:ascii="宋体" w:hAnsi="宋体" w:eastAsia="宋体" w:cs="宋体"/>
          <w:b/>
          <w:bCs/>
          <w:sz w:val="21"/>
          <w:szCs w:val="21"/>
        </w:rPr>
        <w:t>3、合并利润表</w:t>
      </w:r>
      <w:bookmarkEnd w:id="10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2024年半年度</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2023年半年度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一、营业总收入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6,887,250,278.97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7,634,441,218.79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其中：营业收入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6,887,250,278.97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7,634,441,218.79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利息收入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已赚保费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手续费及佣金收入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二、营业总成本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5,417,210,597.30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6,287,380,502.76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其中：营业成本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4,559,749,609.24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5,370,808,790.63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利息支出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手续费及佣金支出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退保金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赔付支出净额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提取保险责任准备金净额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保单红利支出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分保费用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税金及附加</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58,187,702.33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64,026,718.01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销售费用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管理费用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65,445,441.25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64,587,146.96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研发费用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10,544,512.43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14,736,003.00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财务费用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723,283,332.05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773,221,844.16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其中：利息费用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727,597,097.32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770,909,101.53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440" w:firstLineChars="800"/>
              <w:jc w:val="left"/>
              <w:rPr>
                <w:rFonts w:ascii="宋体" w:hAnsi="宋体" w:eastAsia="宋体" w:cs="宋体"/>
                <w:sz w:val="18"/>
                <w:szCs w:val="18"/>
              </w:rPr>
            </w:pPr>
            <w:r>
              <w:rPr>
                <w:rFonts w:ascii="宋体" w:hAnsi="宋体" w:eastAsia="宋体" w:cs="宋体"/>
                <w:sz w:val="18"/>
                <w:szCs w:val="18"/>
              </w:rPr>
              <w:t>利息收入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4,989,043.99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5,904,338.29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加：其他收益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38,240,087.11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47,968,570.02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投资收益（损失以“—”号填列）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56,584,591.92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37,438,406.58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其中：对联营企业和合营企业的投资收益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56,584,591.92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36,319,433.83</w:t>
            </w:r>
          </w:p>
        </w:tc>
      </w:tr>
      <w:tr>
        <w:tblPrEx>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440" w:firstLineChars="800"/>
              <w:jc w:val="left"/>
              <w:rPr>
                <w:rFonts w:ascii="宋体" w:hAnsi="宋体" w:eastAsia="宋体" w:cs="宋体"/>
                <w:sz w:val="18"/>
                <w:szCs w:val="18"/>
              </w:rPr>
            </w:pPr>
            <w:r>
              <w:rPr>
                <w:rFonts w:ascii="宋体" w:hAnsi="宋体" w:eastAsia="宋体" w:cs="宋体"/>
                <w:sz w:val="18"/>
                <w:szCs w:val="18"/>
              </w:rPr>
              <w:t>以摊余成本计量的金融资产终止确认收益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汇兑收益（损失以“—”号填列）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净敞口套期收益（损失以“—”号填列）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公允价值变动收益（损失以“—”号填列）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信用减值损失（损失以“—”号填列）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1,042,529.63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1,198,299.57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资产减值损失（损失以“—”号填列）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资产处置收益（损失以“—”号填列）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1,328,547.14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548,005.82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三、营业利润（亏损以“—”号填列）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1,567,235,437.47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1,434,213,998.02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加：营业外收入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75,901,628.53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48,523,039.82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减：营业外支出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982,912.23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3,811,440.94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四、利润总额（亏损总额以“—”号填列）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1,642,154,153.77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1,478,925,596.90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减：所得税费用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204,067,111.16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199,219,676.63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五、净利润（净亏损以“—”号填列）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1,438,087,042.61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1,279,705,920.27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（一）按经营持续性分类</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1.持续经营净利润（净亏损以“—”号填列）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1,438,087,042.61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1,279,705,920.27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2.终止经营净利润（净亏损以“—”号填列）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（二）按所有权归属分类</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1.归属于母公司股东的净利润（净亏损以“—”号填列）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1,094,564,982.49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896,989,620.99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2.少数股东损益（净亏损以“—”号填列）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343,522,060.12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382,716,299.28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六、其他综合收益的税后净额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归属母公司所有者的其他综合收益的税后净额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（一）不能重分类进损益的其他综合收益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1.重新计量设定受益计划变动额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2.权益法下不能转损益的其他综合收益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3.其他权益工具投资公允价值变动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4.企业自身信用风险公允价值变动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5.其他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（二）将重分类进损益的其他综合收益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1.权益法下可转损益的其他综合收益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2.其他债权投资公允价值变动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3.金融资产重分类计入其他综合收益的金额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4.其他债权投资信用减值准备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5.现金流量套期储备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6.外币财务报表折算差额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7.其他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归属于少数股东的其他综合收益的税后净额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七、综合收益总额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1,438,087,042.61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1,279,705,920.27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归属于母公司所有者的综合收益总额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1,094,564,982.49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896,989,620.99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归属于少数股东的综合收益总额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343,522,060.12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382,716,299.28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八、每股收益：</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（一）基本每股收益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（二）稀释每股收益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0.32</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本期发生同一控制下企业合并的，被合并方在合并前实现的净利润为：元，上期被合并方实现的净利润为：元。</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法定代表人：牛国君    主管会计工作负责人：谢晶    会计机构负责人：于杭</w:t>
      </w:r>
    </w:p>
    <w:p>
      <w:pPr>
        <w:keepNext/>
        <w:keepLines/>
        <w:spacing w:before="300" w:after="300" w:line="280" w:lineRule="exact"/>
        <w:jc w:val="left"/>
        <w:outlineLvl w:val="2"/>
        <w:rPr>
          <w:rFonts w:ascii="宋体" w:hAnsi="宋体" w:eastAsia="宋体" w:cs="宋体"/>
          <w:b/>
          <w:bCs/>
          <w:sz w:val="21"/>
          <w:szCs w:val="21"/>
        </w:rPr>
      </w:pPr>
      <w:bookmarkStart w:id="110" w:name="_Toc988999"/>
      <w:r>
        <w:rPr>
          <w:rFonts w:ascii="宋体" w:hAnsi="宋体" w:eastAsia="宋体" w:cs="宋体"/>
          <w:b/>
          <w:bCs/>
          <w:sz w:val="21"/>
          <w:szCs w:val="21"/>
        </w:rPr>
        <w:t>4、母公司利润表</w:t>
      </w:r>
      <w:bookmarkEnd w:id="11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2024年半年度</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2023年半年度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一、营业收入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2,304,665,377.33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2,650,178,467.40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减：营业成本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1,864,425,013.09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2,209,648,393.63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税金及附加</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22,363,760.81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26,391,643.76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销售费用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管理费用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65,442,062.53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64,586,020.72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研发费用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1,077,994.39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643,598.53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财务费用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314,467,316.97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382,076,799.36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其中：利息费用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315,403,732.65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376,557,926.85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260" w:firstLineChars="700"/>
              <w:jc w:val="left"/>
              <w:rPr>
                <w:rFonts w:ascii="宋体" w:hAnsi="宋体" w:eastAsia="宋体" w:cs="宋体"/>
                <w:sz w:val="18"/>
                <w:szCs w:val="18"/>
              </w:rPr>
            </w:pPr>
            <w:r>
              <w:rPr>
                <w:rFonts w:ascii="宋体" w:hAnsi="宋体" w:eastAsia="宋体" w:cs="宋体"/>
                <w:sz w:val="18"/>
                <w:szCs w:val="18"/>
              </w:rPr>
              <w:t>利息收入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1,051,368.98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1,378,613.70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加：其他收益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1,057,826.01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1,414,172.87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投资收益（损失以“—”号填列）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776,251,508.60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1,245,072,871.00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其中：对联营企业和合营企业的投资收益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55,795,746.14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50,277,251.87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260" w:firstLineChars="700"/>
              <w:jc w:val="left"/>
              <w:rPr>
                <w:rFonts w:ascii="宋体" w:hAnsi="宋体" w:eastAsia="宋体" w:cs="宋体"/>
                <w:sz w:val="18"/>
                <w:szCs w:val="18"/>
              </w:rPr>
            </w:pPr>
            <w:r>
              <w:rPr>
                <w:rFonts w:ascii="宋体" w:hAnsi="宋体" w:eastAsia="宋体" w:cs="宋体"/>
                <w:sz w:val="18"/>
                <w:szCs w:val="18"/>
              </w:rPr>
              <w:t>以摊余成本计量的金融资产终止确认收益（损失以“—”号填列）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净敞口套期收益（损失以“—”号填列）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公允价值变动收益（损失以“—”号填列）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信用减值损失（损失以“—”号填列）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109,102.41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资产减值损失（损失以“—”号填列）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资产处置收益（损失以“—”号填列）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17,723.65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174,377.95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二、营业利润（亏损以“—”号填列）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814,216,287.80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1,213,602,535.63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加：营业外收入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14,205,982.09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196,317.30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减：营业外支出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46,173.84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102,182.38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三、利润总额（亏损总额以“—”号填列）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828,376,096.05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1,213,696,670.55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减：所得税费用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四、净利润（净亏损以“—”号填列）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828,376,096.05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1,213,696,670.55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（一）持续经营净利润（净亏损以“—”号填列）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828,376,096.05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1,213,696,670.55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（二）终止经营净利润（净亏损以“—”号填列）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五、其他综合收益的税后净额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（一）不能重分类进损益的其他综合收益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1.重新计量设定受益计划变动额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2.权益法下不能转损益的其他综合收益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3.其他权益工具投资公允价值变动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4.企业自身信用风险公允价值变动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5.其他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（二）将重分类进损益的其他综合收益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1.权益法下可转损益的其他综合收益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2.其他债权投资公允价值变动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3.金融资产重分类计入其他综合收益的金额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4.其他债权投资信用减值准备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5.现金流量套期储备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6.外币财务报表折算差额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7.其他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六、综合收益总额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828,376,096.05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1,213,696,670.55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七、每股收益：</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（一）基本每股收益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（二）稀释每股收益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keepNext/>
        <w:keepLines/>
        <w:spacing w:before="300" w:after="300" w:line="280" w:lineRule="exact"/>
        <w:jc w:val="left"/>
        <w:outlineLvl w:val="2"/>
        <w:rPr>
          <w:rFonts w:ascii="宋体" w:hAnsi="宋体" w:eastAsia="宋体" w:cs="宋体"/>
          <w:b/>
          <w:bCs/>
          <w:sz w:val="21"/>
          <w:szCs w:val="21"/>
        </w:rPr>
      </w:pPr>
      <w:bookmarkStart w:id="111" w:name="_Toc989000"/>
      <w:r>
        <w:rPr>
          <w:rFonts w:ascii="宋体" w:hAnsi="宋体" w:eastAsia="宋体" w:cs="宋体"/>
          <w:b/>
          <w:bCs/>
          <w:sz w:val="21"/>
          <w:szCs w:val="21"/>
        </w:rPr>
        <w:t>5、合并现金流量表</w:t>
      </w:r>
      <w:bookmarkEnd w:id="11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2024年半年度</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2023年半年度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一、经营活动产生的现金流量：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销售商品、提供劳务收到的现金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5,745,626,395.55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6,674,379,089.59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客户存款和同业存放款项净增加额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向中央银行借款净增加额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向其他金融机构拆入资金净增加额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收到原保险合同保费取得的现金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收到再保业务现金净额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保户储金及投资款净增加额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收取利息、手续费及佣金的现金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拆入资金净增加额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回购业务资金净增加额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代理买卖证券收到的现金净额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收到的税费返还</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44,463,300.67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220,590,859.90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收到其他与经营活动有关的现金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77,831,964.54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41,160,849.49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经营活动现金流入小计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5,867,921,660.76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6,936,130,798.98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购买商品、接受劳务支付的现金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2,574,821,298.55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3,410,459,730.14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客户贷款及垫款净增加额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存放中央银行和同业款项净增加额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支付原保险合同赔付款项的现金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拆出资金净增加额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支付利息、手续费及佣金的现金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支付保单红利的现金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支付给职工以及为职工支付的现金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426,768,266.78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686,239,832.06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支付的各项税费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589,332,592.87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627,856,783.35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支付其他与经营活动有关的现金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223,276,482.05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169,734,083.38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经营活动现金流出小计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3,814,198,640.25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4,894,290,428.93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经营活动产生的现金流量净额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2,053,723,020.51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2,041,840,370.05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二、投资活动产生的现金流量：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收回投资收到的现金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取得投资收益收到的现金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44,625.00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处置固定资产、无形资产和其他长期资产收回的现金净额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531,655.68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2,651,059.44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处置子公司及其他营业单位收到的现金净额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收到其他与投资活动有关的现金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531,655.68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2,695,684.44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购建固定资产、无形资产和其他长期资产支付的现金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2,816,797,453.75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1,935,288,527.34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投资支付的现金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13,325,000.00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174,060,044.62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质押贷款净增加额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取得子公司及其他营业单位支付的现金净额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45,626,762.41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支付其他与投资活动有关的现金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2,875,749,216.16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2,109,348,571.96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-2,875,217,560.48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-2,106,652,887.52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三、筹资活动产生的现金流量：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吸收投资收到的现金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41,185,200.00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206,109,812.59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其中：子公司吸收少数股东投资收到的现金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41,185,200.00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206,109,812.59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取得借款收到的现金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15,237,162,972.14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15,863,265,404.95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收到其他与筹资活动有关的现金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207,211,000.00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筹资活动现金流入小计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15,485,559,172.14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16,154,375,217.54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偿还债务支付的现金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12,308,381,886.31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14,073,541,347.76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分配股利、利润或偿付利息支付的现金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833,364,791.83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1,230,009,196.70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其中：子公司支付给少数股东的股利、利润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187,641,751.09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256,126,055.61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支付其他与筹资活动有关的现金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1,210,800,032.02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511,277,491.39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筹资活动现金流出小计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14,352,546,710.16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15,814,828,035.85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筹资活动产生的现金流量净额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1,133,012,461.98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339,547,181.69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四、汇率变动对现金及现金等价物的影响</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五、现金及现金等价物净增加额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311,517,922.01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274,734,664.22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加：期初现金及现金等价物余额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1,038,736,055.24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1,134,901,784.46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六、期末现金及现金等价物余额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1,350,253,977.25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1,409,636,448.68</w:t>
            </w:r>
          </w:p>
        </w:tc>
      </w:tr>
    </w:tbl>
    <w:p>
      <w:pPr>
        <w:keepNext/>
        <w:keepLines/>
        <w:spacing w:before="300" w:after="300" w:line="280" w:lineRule="exact"/>
        <w:jc w:val="left"/>
        <w:outlineLvl w:val="2"/>
        <w:rPr>
          <w:rFonts w:ascii="宋体" w:hAnsi="宋体" w:eastAsia="宋体" w:cs="宋体"/>
          <w:b/>
          <w:bCs/>
          <w:sz w:val="21"/>
          <w:szCs w:val="21"/>
        </w:rPr>
      </w:pPr>
      <w:bookmarkStart w:id="112" w:name="_Toc989001"/>
      <w:r>
        <w:rPr>
          <w:rFonts w:ascii="宋体" w:hAnsi="宋体" w:eastAsia="宋体" w:cs="宋体"/>
          <w:b/>
          <w:bCs/>
          <w:sz w:val="21"/>
          <w:szCs w:val="21"/>
        </w:rPr>
        <w:t>6、母公司现金流量表</w:t>
      </w:r>
      <w:bookmarkEnd w:id="112"/>
    </w:p>
    <w:p>
      <w:pPr>
        <w:spacing w:before="0" w:after="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2024年半年度</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2023年半年度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一、经营活动产生的现金流量：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销售商品、提供劳务收到的现金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2,370,129,561.15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2,560,056,949.53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收到的税费返还</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5,496,040.73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收到其他与经营活动有关的现金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1,248,631,257.86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100,968,874.75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经营活动现金流入小计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3,618,760,819.01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2,666,521,865.01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购买商品、接受劳务支付的现金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1,660,428,883.25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1,678,682,661.13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支付给职工以及为职工支付的现金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272,218,077.27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278,609,102.93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支付的各项税费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115,578,295.63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147,389,601.03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支付其他与经营活动有关的现金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538,497,685.41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520,589,742.57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经营活动现金流出小计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2,586,722,941.56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2,625,271,107.66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经营活动产生的现金流量净额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1,032,037,877.45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41,250,757.35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二、投资活动产生的现金流量：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收回投资收到的现金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取得投资收益收到的现金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568,996,025.87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909,536,443.48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处置固定资产、无形资产和其他长期资产收回的现金净额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350,035.68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438,917.00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处置子公司及其他营业单位收到的现金净额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收到其他与投资活动有关的现金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2,440,901,986.29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2,128,606,110.61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3,010,248,047.84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3,038,581,471.09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购建固定资产、无形资产和其他长期资产支付的现金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193,881,638.04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171,837,754.48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投资支付的现金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1,042,195,000.00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693,254,064.00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取得子公司及其他营业单位支付的现金净额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支付其他与投资活动有关的现金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1,673,050,000.00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1,873,353,759.13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2,909,126,638.04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2,738,445,577.61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101,121,409.80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300,135,893.48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三、筹资活动产生的现金流量：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吸收投资收到的现金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取得借款收到的现金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9,426,408,203.78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13,225,756,214.09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收到其他与筹资活动有关的现金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471,651,163.80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699,575,757.82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筹资活动现金流入小计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9,898,059,367.58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13,925,331,971.91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偿还债务支付的现金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9,607,652,325.20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12,370,891,239.13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分配股利、利润或偿付利息支付的现金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244,559,938.98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694,102,770.40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支付其他与筹资活动有关的现金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709,032,732.65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1,373,960,493.52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筹资活动现金流出小计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10,561,244,996.83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14,438,954,503.05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筹资活动产生的现金流量净额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-663,185,629.25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-513,622,531.14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四、汇率变动对现金及现金等价物的影响</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五、现金及现金等价物净增加额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469,973,658.00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-172,235,880.31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加：期初现金及现金等价物余额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76,291,493.49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244,639,223.88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六、期末现金及现金等价物余额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546,265,151.49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72,403,343.57</w:t>
            </w:r>
          </w:p>
        </w:tc>
      </w:tr>
    </w:tbl>
    <w:p>
      <w:pPr>
        <w:keepNext/>
        <w:keepLines/>
        <w:spacing w:before="300" w:after="300" w:line="280" w:lineRule="exact"/>
        <w:jc w:val="left"/>
        <w:outlineLvl w:val="2"/>
        <w:rPr>
          <w:rFonts w:ascii="宋体" w:hAnsi="宋体" w:eastAsia="宋体" w:cs="宋体"/>
          <w:b/>
          <w:bCs/>
          <w:sz w:val="21"/>
          <w:szCs w:val="21"/>
        </w:rPr>
      </w:pPr>
      <w:bookmarkStart w:id="113" w:name="_Toc989002"/>
      <w:r>
        <w:rPr>
          <w:rFonts w:ascii="宋体" w:hAnsi="宋体" w:eastAsia="宋体" w:cs="宋体"/>
          <w:b/>
          <w:bCs/>
          <w:sz w:val="21"/>
          <w:szCs w:val="21"/>
        </w:rPr>
        <w:t>7、合并所有者权益变动表</w:t>
      </w:r>
      <w:bookmarkEnd w:id="113"/>
    </w:p>
    <w:p>
      <w:pPr>
        <w:spacing w:before="100" w:after="100" w:line="240" w:lineRule="exact"/>
        <w:jc w:val="left"/>
        <w:rPr>
          <w:rFonts w:ascii="宋体" w:hAnsi="宋体" w:eastAsia="宋体" w:cs="宋体"/>
          <w:sz w:val="18"/>
          <w:szCs w:val="18"/>
        </w:rPr>
      </w:pPr>
      <w:r>
        <w:rPr>
          <w:rFonts w:ascii="宋体" w:hAnsi="宋体" w:eastAsia="宋体" w:cs="宋体"/>
          <w:sz w:val="18"/>
          <w:szCs w:val="18"/>
        </w:rPr>
        <w:t>本期金额</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0"/>
        <w:gridCol w:w="563"/>
        <w:gridCol w:w="563"/>
        <w:gridCol w:w="563"/>
        <w:gridCol w:w="563"/>
        <w:gridCol w:w="563"/>
        <w:gridCol w:w="563"/>
        <w:gridCol w:w="563"/>
        <w:gridCol w:w="563"/>
        <w:gridCol w:w="563"/>
        <w:gridCol w:w="563"/>
        <w:gridCol w:w="563"/>
        <w:gridCol w:w="563"/>
        <w:gridCol w:w="563"/>
        <w:gridCol w:w="563"/>
        <w:gridCol w:w="5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8445" w:type="dxa"/>
            <w:gridSpan w:val="1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2024年半年度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319" w:type="dxa"/>
            <w:gridSpan w:val="1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归属于母公司所有者权益</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0" w:lineRule="exact"/>
              <w:jc w:val="center"/>
              <w:rPr>
                <w:rFonts w:ascii="宋体" w:hAnsi="宋体" w:eastAsia="宋体" w:cs="宋体"/>
                <w:sz w:val="18"/>
                <w:szCs w:val="18"/>
              </w:rPr>
            </w:pPr>
            <w:r>
              <w:rPr>
                <w:rFonts w:ascii="宋体" w:hAnsi="宋体" w:eastAsia="宋体" w:cs="宋体"/>
                <w:sz w:val="18"/>
                <w:szCs w:val="18"/>
              </w:rPr>
              <w:t>少数股东权益</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所有者权益合计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股本</w:t>
            </w:r>
          </w:p>
        </w:tc>
        <w:tc>
          <w:tcPr>
            <w:tcW w:w="1689"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其他权益工具</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资本公积</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减：库存股</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其他综合收益</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专项储备</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盈余公积</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一般风险准备</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未分配利润</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小计</w:t>
            </w: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优先股</w:t>
            </w:r>
          </w:p>
        </w:tc>
        <w:tc>
          <w:tcPr>
            <w:tcW w:w="5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永续债</w:t>
            </w:r>
          </w:p>
        </w:tc>
        <w:tc>
          <w:tcPr>
            <w:tcW w:w="5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一、上年期末余额</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7,037,910,334.71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6,516,414.58</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23,095,372.82</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104,632,743.32</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1,836,141,587.57</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11,798,504,627.00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7,937,290,283.80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19,735,794,910.80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加：会计政策变更</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前期差错更正</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二、本年期初余额</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7,037,910,334.71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6,516,414.58</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23,095,372.82</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104,632,743.32</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1,836,141,587.57</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11,798,504,627.00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7,937,290,283.80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19,735,794,910.80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三、本期增减变动金额（减少以“—”号填列）</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48,271,521.11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1,094,564,982.49</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1,142,836,503.60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162,912,472.44</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1,305,748,976.04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（一）综合收益总额</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1,094,564,982.49</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1,094,564,982.49</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343,522,060.12</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1,438,087,042.61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（二）所有者投入和减少资本</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41,869,400.00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41,869,400.00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1．所有者投入的普通股</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41,869,400.00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41,869,400.00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2．其他权益工具持有者投入资本</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3．股份支付计入所有者权益的金额</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（三）利润分配</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-229,676,355.94</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-229,676,355.94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1．提取盈余公积</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2．提取一般风险准备</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3．对所有者（或股东）的分配</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-229,676,355.94</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-229,676,355.94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（四）所有者权益内部结转</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1．资本公积转增资本（或股本）</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2．盈余公积转增资本（或股本）</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3．盈余公积弥补亏损</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4．设定受益计划变动额结转留存收益</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5．其他综合收益结转留存收益</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6．其他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（五）专项储备</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48,271,521.11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48,271,521.11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7,197,368.26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55,468,889.37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1．本期提取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85,946,126.46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85,946,126.46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7,197,368.26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93,143,494.72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2．本期使用</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-37,674,605.35</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-37,674,605.35</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-37,674,605.35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（六）其他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四、本期期末余额</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7,037,910,334.71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6,516,414.58</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71,366,893.93</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104,632,743.32</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2,930,706,570.06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12,941,341,130.60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8,100,202,756.24</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21,041,543,886.84</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上年金额</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0"/>
        <w:gridCol w:w="563"/>
        <w:gridCol w:w="563"/>
        <w:gridCol w:w="563"/>
        <w:gridCol w:w="563"/>
        <w:gridCol w:w="563"/>
        <w:gridCol w:w="563"/>
        <w:gridCol w:w="563"/>
        <w:gridCol w:w="563"/>
        <w:gridCol w:w="563"/>
        <w:gridCol w:w="563"/>
        <w:gridCol w:w="563"/>
        <w:gridCol w:w="563"/>
        <w:gridCol w:w="563"/>
        <w:gridCol w:w="563"/>
        <w:gridCol w:w="5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8445" w:type="dxa"/>
            <w:gridSpan w:val="1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2023年半年度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319" w:type="dxa"/>
            <w:gridSpan w:val="1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归属于母公司所有者权益</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少数股东权益</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所有者权益合计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股本</w:t>
            </w:r>
          </w:p>
        </w:tc>
        <w:tc>
          <w:tcPr>
            <w:tcW w:w="1689"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其他权益工具</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资本公积</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减：库存股</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其他综合收益</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专项储备</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盈余公积</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一般风险准备</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未分配利润</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小计</w:t>
            </w: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优先股</w:t>
            </w:r>
          </w:p>
        </w:tc>
        <w:tc>
          <w:tcPr>
            <w:tcW w:w="5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永续债</w:t>
            </w:r>
          </w:p>
        </w:tc>
        <w:tc>
          <w:tcPr>
            <w:tcW w:w="5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vAlign w:val="center"/>
          </w:tcPr>
          <w:p/>
        </w:tc>
        <w:tc>
          <w:tcPr>
            <w:tcW w:w="563" w:type="dxa"/>
            <w:vMerge w:val="continue"/>
            <w:tcBorders>
              <w:top w:val="single" w:color="auto" w:sz="2" w:space="0"/>
              <w:left w:val="single" w:color="auto" w:sz="2" w:space="0"/>
              <w:bottom w:val="single" w:color="auto" w:sz="2" w:space="0"/>
              <w:right w:val="single" w:color="auto" w:sz="2" w:space="0"/>
            </w:tcBorders>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一、上年期末余额</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7,037,910,334.71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6,441,578.51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98,426,246.14</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1,235,240,245.40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11,172,487,063.46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8,765,991,931.59</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19,938,478,995.05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加：会计政策变更</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5,613,003.75</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5,613,003.75</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313,205.31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5,926,209.06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前期差错更正</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二、本年期初余额</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7,037,910,334.71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6,441,578.51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98,426,246.14</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1,240,853,249.15</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11,178,100,067.21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8,766,305,136.90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19,944,405,204.11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三、本期增减变动金额（减少以“—”号填列）</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60,417,008.36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896,989,620.99</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957,406,629.35</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171,045,673.95</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1,128,452,303.30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（一）综合收益总额</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896,989,620.99</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896,989,620.99</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382,716,299.28</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1,279,705,920.27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（二）所有者投入和减少资本</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206,109,812.59</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206,109,812.59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1．所有者投入的普通股</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206,109,812.59</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206,109,812.59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2．其他权益工具持有者投入资本</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3．股份支付计入所有者权益的金额</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（三）利润分配</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-425,651,096.91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-425,651,096.91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1．提取盈余公积</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2．提取一般风险准备</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3．对所有者（或股东）的分配</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-425,651,096.91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-425,651,096.91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（四）所有者权益内部结转</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1．资本公积转增资本（或股本）</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2．盈余公积转增资本（或股本）</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3．盈余公积弥补亏损</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4．设定受益计划变动额结转留存收益</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5．其他综合收益结转留存收益</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6．其他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（五）专项储备</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60,417,008.36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60,417,008.36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7,870,658.99</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68,287,667.35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1．本期提取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85,035,574.96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85,035,574.96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7,870,658.99</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92,906,233.95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2．本期使用</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-24,618,566.60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-24,618,566.60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-24,618,566.60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（六）其他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四、本期期末余额</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7,037,910,334.71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66,858,586.87</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98,426,246.14</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2,137,842,870.14</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12,135,506,696.56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8,937,350,810.85</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21,072,857,507.41</w:t>
            </w:r>
          </w:p>
        </w:tc>
      </w:tr>
    </w:tbl>
    <w:p>
      <w:pPr>
        <w:keepNext/>
        <w:keepLines/>
        <w:spacing w:before="300" w:after="300" w:line="280" w:lineRule="exact"/>
        <w:jc w:val="left"/>
        <w:outlineLvl w:val="2"/>
        <w:rPr>
          <w:rFonts w:ascii="宋体" w:hAnsi="宋体" w:eastAsia="宋体" w:cs="宋体"/>
          <w:b/>
          <w:bCs/>
          <w:sz w:val="21"/>
          <w:szCs w:val="21"/>
        </w:rPr>
      </w:pPr>
      <w:bookmarkStart w:id="114" w:name="_Toc989003"/>
      <w:r>
        <w:rPr>
          <w:rFonts w:ascii="宋体" w:hAnsi="宋体" w:eastAsia="宋体" w:cs="宋体"/>
          <w:b/>
          <w:bCs/>
          <w:sz w:val="21"/>
          <w:szCs w:val="21"/>
        </w:rPr>
        <w:t>8、母公司所有者权益变动表</w:t>
      </w:r>
      <w:bookmarkEnd w:id="114"/>
    </w:p>
    <w:p>
      <w:pPr>
        <w:spacing w:before="100" w:after="100" w:line="240" w:lineRule="exact"/>
        <w:jc w:val="left"/>
        <w:rPr>
          <w:rFonts w:ascii="宋体" w:hAnsi="宋体" w:eastAsia="宋体" w:cs="宋体"/>
          <w:sz w:val="18"/>
          <w:szCs w:val="18"/>
        </w:rPr>
      </w:pPr>
      <w:r>
        <w:rPr>
          <w:rFonts w:ascii="宋体" w:hAnsi="宋体" w:eastAsia="宋体" w:cs="宋体"/>
          <w:sz w:val="18"/>
          <w:szCs w:val="18"/>
        </w:rPr>
        <w:t>本期金额</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0"/>
        <w:gridCol w:w="703"/>
        <w:gridCol w:w="703"/>
        <w:gridCol w:w="703"/>
        <w:gridCol w:w="703"/>
        <w:gridCol w:w="703"/>
        <w:gridCol w:w="703"/>
        <w:gridCol w:w="703"/>
        <w:gridCol w:w="703"/>
        <w:gridCol w:w="703"/>
        <w:gridCol w:w="703"/>
        <w:gridCol w:w="703"/>
        <w:gridCol w:w="7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8436" w:type="dxa"/>
            <w:gridSpan w:val="1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2024年半年度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股本</w:t>
            </w:r>
          </w:p>
        </w:tc>
        <w:tc>
          <w:tcPr>
            <w:tcW w:w="2109"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其他权益工具</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资本公积</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减：库存股</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其他综合收益</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专项储备</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盈余公积</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未分配利润</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所有者权益合计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优先股</w:t>
            </w:r>
          </w:p>
        </w:tc>
        <w:tc>
          <w:tcPr>
            <w:tcW w:w="7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永续债</w:t>
            </w:r>
          </w:p>
        </w:tc>
        <w:tc>
          <w:tcPr>
            <w:tcW w:w="7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vMerge w:val="continue"/>
            <w:tcBorders>
              <w:top w:val="single" w:color="auto" w:sz="2" w:space="0"/>
              <w:left w:val="single" w:color="auto" w:sz="2" w:space="0"/>
              <w:bottom w:val="single" w:color="auto" w:sz="2" w:space="0"/>
              <w:right w:val="single" w:color="auto" w:sz="2" w:space="0"/>
            </w:tcBorders>
            <w:vAlign w:val="center"/>
          </w:tc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vMerge w:val="continue"/>
            <w:tcBorders>
              <w:top w:val="single" w:color="auto" w:sz="2" w:space="0"/>
              <w:left w:val="single" w:color="auto" w:sz="2" w:space="0"/>
              <w:bottom w:val="single" w:color="auto" w:sz="2" w:space="0"/>
              <w:right w:val="single" w:color="auto" w:sz="2" w:space="0"/>
            </w:tcBorders>
            <w:vAlign w:val="center"/>
          </w:tc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一、上年期末余额</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7,129,408,029.05</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6,516,414.58</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850,286.52</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104,632,743.32</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55,858,474.56</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10,087,474,122.03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加：会计政策变更</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前期差错更正</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二、本年期初余额</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7,129,408,029.05</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6,516,414.58</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850,286.52</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104,632,743.32</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55,858,474.56</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10,087,474,122.03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三、本期增减变动金额（减少以“—”号填列）</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16,198,764.28</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828,376,096.05</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844,574,860.33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（一）综合收益总额</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828,376,096.05</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828,376,096.05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（二）所有者投入和减少资本</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1．所有者投入的普通股</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2．其他权益工具持有者投入资本</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3．股份支付计入所有者权益的金额</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（三）利润分配</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1．提取盈余公积</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2．对所有者（或股东）的分配</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（四）所有者权益内部结转</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1．资本公积转增资本（或股本）</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2．盈余公积转增资本（或股本）</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3．盈余公积弥补亏损</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4．设定受益计划变动额结转留存收益</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5．其他综合收益结转留存收益</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6．其他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（五）专项储备</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16,198,764.28</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16,198,764.28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1．本期提取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24,012,374.52</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24,012,374.52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2．本期使用</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-7,813,610.24</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-7,813,610.24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（六）其他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四、本期期末余额</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7,129,408,029.05</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6,516,414.58</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17,049,050.80</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104,632,743.32</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884,234,570.61</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10,932,048,982.36</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上年金额</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0"/>
        <w:gridCol w:w="703"/>
        <w:gridCol w:w="703"/>
        <w:gridCol w:w="703"/>
        <w:gridCol w:w="703"/>
        <w:gridCol w:w="703"/>
        <w:gridCol w:w="703"/>
        <w:gridCol w:w="703"/>
        <w:gridCol w:w="703"/>
        <w:gridCol w:w="703"/>
        <w:gridCol w:w="703"/>
        <w:gridCol w:w="703"/>
        <w:gridCol w:w="7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8436" w:type="dxa"/>
            <w:gridSpan w:val="1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2023年半年度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股本</w:t>
            </w:r>
          </w:p>
        </w:tc>
        <w:tc>
          <w:tcPr>
            <w:tcW w:w="2109"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其他权益工具</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资本公积</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减：库存股</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其他综合收益</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专项储备</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盈余公积</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未分配利润</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所有者权益合计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优先股</w:t>
            </w:r>
          </w:p>
        </w:tc>
        <w:tc>
          <w:tcPr>
            <w:tcW w:w="7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永续债</w:t>
            </w:r>
          </w:p>
        </w:tc>
        <w:tc>
          <w:tcPr>
            <w:tcW w:w="7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vMerge w:val="continue"/>
            <w:tcBorders>
              <w:top w:val="single" w:color="auto" w:sz="2" w:space="0"/>
              <w:left w:val="single" w:color="auto" w:sz="2" w:space="0"/>
              <w:bottom w:val="single" w:color="auto" w:sz="2" w:space="0"/>
              <w:right w:val="single" w:color="auto" w:sz="2" w:space="0"/>
            </w:tcBorders>
            <w:vAlign w:val="center"/>
          </w:tc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03" w:type="dxa"/>
            <w:vMerge w:val="continue"/>
            <w:tcBorders>
              <w:top w:val="single" w:color="auto" w:sz="2" w:space="0"/>
              <w:left w:val="single" w:color="auto" w:sz="2" w:space="0"/>
              <w:bottom w:val="single" w:color="auto" w:sz="2" w:space="0"/>
              <w:right w:val="single" w:color="auto" w:sz="2" w:space="0"/>
            </w:tcBorders>
            <w:vAlign w:val="center"/>
          </w:tc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一、上年期末余额</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7,129,408,029.05</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1,676,208.71</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98,426,246.14</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-592,558,287.75</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9,431,420,854.85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加：会计政策变更</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前期差错更正</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二、本年期初余额</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7,129,408,029.05</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1,676,208.71</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98,426,246.14</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-592,558,287.75</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9,431,420,854.85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三、本期增减变动金额（减少以“—”号填列）</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16,994,603.32</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1,213,696,670.55</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1,230,691,273.87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（一）综合收益总额</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1,213,696,670.55</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1,213,696,670.55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（二）所有者投入和减少资本</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1．所有者投入的普通股</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2．其他权益工具持有者投入资本</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3．股份支付计入所有者权益的金额</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（三）利润分配</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1．提取盈余公积</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2．对所有者（或股东）的分配</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（四）所有者权益内部结转</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1．资本公积转增资本（或股本）</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2．盈余公积转增资本（或股本）</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3．盈余公积弥补亏损</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4．设定受益计划变动额结转留存收益</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5．其他综合收益结转留存收益</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6．其他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（五）专项储备</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16,994,603.32</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16,994,603.32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1．本期提取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21,355,557.06</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21,355,557.06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2．本期使用</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-4,360,953.74</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-4,360,953.74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（六）其他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四、本期期末余额</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7,129,408,029.05</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18,670,812.03</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98,426,246.14</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621,138,382.80</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10,662,112,128.72</w:t>
            </w:r>
          </w:p>
        </w:tc>
      </w:tr>
    </w:tbl>
    <w:p>
      <w:pPr>
        <w:keepNext/>
        <w:keepLines/>
        <w:spacing w:before="300" w:after="300" w:line="320" w:lineRule="exact"/>
        <w:jc w:val="left"/>
        <w:outlineLvl w:val="1"/>
        <w:rPr>
          <w:rFonts w:ascii="宋体" w:hAnsi="宋体" w:eastAsia="宋体" w:cs="宋体"/>
          <w:b/>
          <w:bCs/>
          <w:sz w:val="24"/>
          <w:szCs w:val="24"/>
        </w:rPr>
      </w:pPr>
      <w:bookmarkStart w:id="115" w:name="_Toc989004"/>
      <w:r>
        <w:rPr>
          <w:rFonts w:ascii="宋体" w:hAnsi="宋体" w:eastAsia="宋体" w:cs="宋体"/>
          <w:b/>
          <w:bCs/>
          <w:sz w:val="24"/>
          <w:szCs w:val="24"/>
        </w:rPr>
        <w:t>三、公司基本情况</w:t>
      </w:r>
      <w:bookmarkEnd w:id="115"/>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吉林电力股份有限公司（以下简称本公司或公司）是经吉林省经济体制改革委员会（吉改股批〔1993〕第47号）文批准，由国家电投集团吉林能源投资有限公司（原吉林省能源交通总公司，以下简称吉林能投或吉林能源投资公司）作为主发起人与国网吉林省电力有限公司（原吉林省电力公司）、交通银行长春分行、吉林省信托投资公司、吉林华能发电公司共同发起，以定向募集方式设立的股份有限公司。公司于1993年4月28日在吉林省工商行政管理局登记注册，总部位于吉林省长春市。公司现持有统一社会信用代码为91220000123962584G的营业执照，注册资本为人民币2,790,208,174.00元，股份总数2,790,208,174股（每股面值1元）。其中：无限售条件的流通股份A股2,445,675,717股。公司股票已于2002年9月26日在深圳证券交易所挂牌交易。</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本公司属能源开发行业。主要经营活动为火电、水电、新能源的研发、生产和销售。产品主要有：火电、水电、风电、太阳能、分布式能源、气电、生物质、核能；提供的劳务主要有电站检修及运维服务。</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本公司主要从事火电、水电、新能源（包括风电、太阳能、分布式能源、气电、生物质、核能）的开发、投资、建设、生产、经营、销售、技术服务、项目建设委托管理。供热、工业供气、供水（冷、热水）、制冷服务（由分支机构凭许可证经营）。煤炭的采购与销售（以上经营项目中经销单台出力大于等于20蒸吨、1小时锅炉燃用煤炭及其制品以及禁止在禁燃区内销售高污染燃料,不在长春市经营）（依法须经批准的项目,经相关部门批准后方可开展经营活动）。电站检修及运维服务。配电网、供热管网、供水管网的投资、建设、检修和运营管理业务。汽车充电桩设施的建设和经营管理服务。粉煤灰、石膏综合利用开发、销售。燃烧煤烟污染治理服务。自有房屋租赁。电力项目科技咨询。计算机信息系统集成。电力设施承试四级（申请人在取得相关许可审批部门许可文件、证件后方可开展经营活动）。电站发电设备及附件的生产、开发和销售（由分支机构凭许可证经营）。电力设备加工、安装、检修。冷却设备安装、维护。工程管理及设备试验服务。火电厂环保科技领域内的技术开发、技术咨询和技术服务。环境工程设计、环境污染治理运营。环保成套设备的研发、销售。信息安全技术服务、咨询与评估。危险废物处置。进出口贸易。（依法须经批准的项目,经相关部门批准后方可开展经营活动）。</w:t>
      </w:r>
    </w:p>
    <w:p>
      <w:pPr>
        <w:keepNext/>
        <w:keepLines/>
        <w:spacing w:before="300" w:after="300" w:line="320" w:lineRule="exact"/>
        <w:jc w:val="left"/>
        <w:outlineLvl w:val="1"/>
        <w:rPr>
          <w:rFonts w:ascii="宋体" w:hAnsi="宋体" w:eastAsia="宋体" w:cs="宋体"/>
          <w:b/>
          <w:bCs/>
          <w:sz w:val="24"/>
          <w:szCs w:val="24"/>
        </w:rPr>
      </w:pPr>
      <w:bookmarkStart w:id="116" w:name="_Toc989005"/>
      <w:r>
        <w:rPr>
          <w:rFonts w:ascii="宋体" w:hAnsi="宋体" w:eastAsia="宋体" w:cs="宋体"/>
          <w:b/>
          <w:bCs/>
          <w:sz w:val="24"/>
          <w:szCs w:val="24"/>
        </w:rPr>
        <w:t>四、财务报表的编制基础</w:t>
      </w:r>
      <w:bookmarkEnd w:id="116"/>
    </w:p>
    <w:p>
      <w:pPr>
        <w:keepNext/>
        <w:keepLines/>
        <w:spacing w:before="300" w:after="300" w:line="280" w:lineRule="exact"/>
        <w:jc w:val="left"/>
        <w:outlineLvl w:val="2"/>
        <w:rPr>
          <w:rFonts w:ascii="宋体" w:hAnsi="宋体" w:eastAsia="宋体" w:cs="宋体"/>
          <w:b/>
          <w:bCs/>
          <w:sz w:val="21"/>
          <w:szCs w:val="21"/>
        </w:rPr>
      </w:pPr>
      <w:bookmarkStart w:id="117" w:name="_Toc989006"/>
      <w:r>
        <w:rPr>
          <w:rFonts w:ascii="宋体" w:hAnsi="宋体" w:eastAsia="宋体" w:cs="宋体"/>
          <w:b/>
          <w:bCs/>
          <w:sz w:val="21"/>
          <w:szCs w:val="21"/>
        </w:rPr>
        <w:t>1、编制基础</w:t>
      </w:r>
      <w:bookmarkEnd w:id="117"/>
    </w:p>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1"/>
          <w:szCs w:val="21"/>
        </w:rPr>
        <w:t>本公司财务报表以持续经营为编制基础。</w:t>
      </w:r>
    </w:p>
    <w:p>
      <w:pPr>
        <w:keepNext/>
        <w:keepLines/>
        <w:spacing w:before="300" w:after="300" w:line="280" w:lineRule="exact"/>
        <w:jc w:val="left"/>
        <w:outlineLvl w:val="2"/>
        <w:rPr>
          <w:rFonts w:ascii="宋体" w:hAnsi="宋体" w:eastAsia="宋体" w:cs="宋体"/>
          <w:b/>
          <w:bCs/>
          <w:sz w:val="21"/>
          <w:szCs w:val="21"/>
        </w:rPr>
      </w:pPr>
      <w:bookmarkStart w:id="118" w:name="_Toc989007"/>
      <w:r>
        <w:rPr>
          <w:rFonts w:ascii="宋体" w:hAnsi="宋体" w:eastAsia="宋体" w:cs="宋体"/>
          <w:b/>
          <w:bCs/>
          <w:sz w:val="21"/>
          <w:szCs w:val="21"/>
        </w:rPr>
        <w:t>2、持续经营</w:t>
      </w:r>
      <w:bookmarkEnd w:id="118"/>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21"/>
          <w:szCs w:val="21"/>
        </w:rPr>
        <w:t>本公司不存在导致对报告期末起12个月内的持续经营能力产生重大疑虑的事项或情况。</w:t>
      </w:r>
    </w:p>
    <w:p>
      <w:pPr>
        <w:keepNext/>
        <w:keepLines/>
        <w:spacing w:before="300" w:after="300" w:line="560" w:lineRule="exact"/>
        <w:jc w:val="left"/>
        <w:outlineLvl w:val="1"/>
        <w:rPr>
          <w:rFonts w:ascii="宋体" w:hAnsi="宋体" w:eastAsia="宋体" w:cs="宋体"/>
          <w:b/>
          <w:bCs/>
          <w:sz w:val="24"/>
          <w:szCs w:val="24"/>
        </w:rPr>
      </w:pPr>
      <w:bookmarkStart w:id="119" w:name="_Toc989008"/>
      <w:r>
        <w:rPr>
          <w:rFonts w:ascii="宋体" w:hAnsi="宋体" w:eastAsia="宋体" w:cs="宋体"/>
          <w:b/>
          <w:bCs/>
          <w:sz w:val="24"/>
          <w:szCs w:val="24"/>
        </w:rPr>
        <w:t>五、重要会计政策及会计估计</w:t>
      </w:r>
      <w:bookmarkEnd w:id="119"/>
    </w:p>
    <w:p>
      <w:pPr>
        <w:spacing w:before="100" w:after="100" w:line="240" w:lineRule="exact"/>
        <w:jc w:val="left"/>
        <w:rPr>
          <w:rFonts w:ascii="宋体" w:hAnsi="宋体" w:eastAsia="宋体" w:cs="宋体"/>
          <w:sz w:val="18"/>
          <w:szCs w:val="18"/>
        </w:rPr>
      </w:pPr>
      <w:r>
        <w:rPr>
          <w:rFonts w:ascii="宋体" w:hAnsi="宋体" w:eastAsia="宋体" w:cs="宋体"/>
          <w:sz w:val="18"/>
          <w:szCs w:val="18"/>
        </w:rPr>
        <w:t>具体会计政策和会计估计提示：</w:t>
      </w:r>
    </w:p>
    <w:p>
      <w:pPr>
        <w:pStyle w:val="5"/>
        <w:keepNext w:val="0"/>
        <w:keepLines w:val="0"/>
        <w:widowControl/>
        <w:suppressLineNumbers w:val="0"/>
      </w:pPr>
      <w:r>
        <w:rPr>
          <w:rFonts w:hint="eastAsia" w:ascii="宋体" w:hAnsi="宋体" w:eastAsia="宋体" w:cs="宋体"/>
          <w:sz w:val="18"/>
          <w:szCs w:val="18"/>
        </w:rPr>
        <w:t>详见第十节财务报告五、重要会计政策及会计估计43.重要会计政策和会计估计变更</w:t>
      </w:r>
    </w:p>
    <w:p>
      <w:pPr>
        <w:keepNext/>
        <w:keepLines/>
        <w:spacing w:before="300" w:after="300" w:line="280" w:lineRule="exact"/>
        <w:jc w:val="left"/>
        <w:outlineLvl w:val="2"/>
        <w:rPr>
          <w:rFonts w:ascii="宋体" w:hAnsi="宋体" w:eastAsia="宋体" w:cs="宋体"/>
          <w:b/>
          <w:bCs/>
          <w:sz w:val="21"/>
          <w:szCs w:val="21"/>
        </w:rPr>
      </w:pPr>
      <w:bookmarkStart w:id="120" w:name="_Toc989009"/>
      <w:r>
        <w:rPr>
          <w:rFonts w:ascii="宋体" w:hAnsi="宋体" w:eastAsia="宋体" w:cs="宋体"/>
          <w:b/>
          <w:bCs/>
          <w:sz w:val="21"/>
          <w:szCs w:val="21"/>
        </w:rPr>
        <w:t>1、遵循企业会计准则的声明</w:t>
      </w:r>
      <w:bookmarkEnd w:id="120"/>
    </w:p>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18"/>
          <w:szCs w:val="18"/>
        </w:rPr>
        <w:t>本公司所编制的财务报表符合企业会计准则的要求，真实、完整地反映了公司的财务状况、经营成果和现金流量等有关信息。</w:t>
      </w:r>
    </w:p>
    <w:p>
      <w:pPr>
        <w:keepNext/>
        <w:keepLines/>
        <w:spacing w:before="300" w:after="300" w:line="280" w:lineRule="exact"/>
        <w:jc w:val="left"/>
        <w:outlineLvl w:val="2"/>
        <w:rPr>
          <w:rFonts w:ascii="宋体" w:hAnsi="宋体" w:eastAsia="宋体" w:cs="宋体"/>
          <w:b/>
          <w:bCs/>
          <w:sz w:val="21"/>
          <w:szCs w:val="21"/>
        </w:rPr>
      </w:pPr>
      <w:bookmarkStart w:id="121" w:name="_Toc989010"/>
      <w:r>
        <w:rPr>
          <w:rFonts w:ascii="宋体" w:hAnsi="宋体" w:eastAsia="宋体" w:cs="宋体"/>
          <w:b/>
          <w:bCs/>
          <w:sz w:val="21"/>
          <w:szCs w:val="21"/>
        </w:rPr>
        <w:t>2、会计期间</w:t>
      </w:r>
      <w:bookmarkEnd w:id="121"/>
    </w:p>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sz w:val="21"/>
          <w:szCs w:val="21"/>
        </w:rPr>
        <w:t>本公司的会计期间分为年度和中期，会计中期指短于一个完整的会计年度的报告期间。本公司会计年度采用公历年度，即每年自1月1日起至12月31日止。</w:t>
      </w:r>
    </w:p>
    <w:p>
      <w:pPr>
        <w:keepNext/>
        <w:keepLines/>
        <w:spacing w:before="300" w:after="300" w:line="280" w:lineRule="exact"/>
        <w:jc w:val="left"/>
        <w:outlineLvl w:val="2"/>
        <w:rPr>
          <w:rFonts w:ascii="宋体" w:hAnsi="宋体" w:eastAsia="宋体" w:cs="宋体"/>
          <w:b/>
          <w:bCs/>
          <w:sz w:val="21"/>
          <w:szCs w:val="21"/>
        </w:rPr>
      </w:pPr>
      <w:bookmarkStart w:id="122" w:name="_Toc989011"/>
      <w:r>
        <w:rPr>
          <w:rFonts w:ascii="宋体" w:hAnsi="宋体" w:eastAsia="宋体" w:cs="宋体"/>
          <w:b/>
          <w:bCs/>
          <w:sz w:val="21"/>
          <w:szCs w:val="21"/>
        </w:rPr>
        <w:t>3、营业周期</w:t>
      </w:r>
      <w:bookmarkEnd w:id="122"/>
    </w:p>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18"/>
          <w:szCs w:val="18"/>
        </w:rPr>
        <w:t>公司经营业务的营业周期较短，以12个月作为资产和负债的流动性划分标准。</w:t>
      </w:r>
    </w:p>
    <w:p>
      <w:pPr>
        <w:keepNext/>
        <w:keepLines/>
        <w:spacing w:before="300" w:after="300" w:line="280" w:lineRule="exact"/>
        <w:jc w:val="left"/>
        <w:outlineLvl w:val="2"/>
        <w:rPr>
          <w:rFonts w:ascii="宋体" w:hAnsi="宋体" w:eastAsia="宋体" w:cs="宋体"/>
          <w:b/>
          <w:bCs/>
          <w:sz w:val="21"/>
          <w:szCs w:val="21"/>
        </w:rPr>
      </w:pPr>
      <w:bookmarkStart w:id="123" w:name="_Toc989012"/>
      <w:r>
        <w:rPr>
          <w:rFonts w:ascii="宋体" w:hAnsi="宋体" w:eastAsia="宋体" w:cs="宋体"/>
          <w:b/>
          <w:bCs/>
          <w:sz w:val="21"/>
          <w:szCs w:val="21"/>
        </w:rPr>
        <w:t>4、记账本位币</w:t>
      </w:r>
      <w:bookmarkEnd w:id="123"/>
    </w:p>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sz w:val="18"/>
          <w:szCs w:val="18"/>
        </w:rPr>
        <w:t> 采用人民币为记账本位币。</w:t>
      </w:r>
    </w:p>
    <w:p>
      <w:pPr>
        <w:keepNext/>
        <w:keepLines/>
        <w:spacing w:before="300" w:after="300" w:line="280" w:lineRule="exact"/>
        <w:jc w:val="left"/>
        <w:outlineLvl w:val="2"/>
        <w:rPr>
          <w:rFonts w:ascii="宋体" w:hAnsi="宋体" w:eastAsia="宋体" w:cs="宋体"/>
          <w:b/>
          <w:bCs/>
          <w:sz w:val="21"/>
          <w:szCs w:val="21"/>
        </w:rPr>
      </w:pPr>
      <w:bookmarkStart w:id="124" w:name="_Toc989013"/>
      <w:r>
        <w:rPr>
          <w:rFonts w:ascii="宋体" w:hAnsi="宋体" w:eastAsia="宋体" w:cs="宋体"/>
          <w:b/>
          <w:bCs/>
          <w:sz w:val="21"/>
          <w:szCs w:val="21"/>
        </w:rPr>
        <w:t>5、重要性标准确定方法和选择依据</w:t>
      </w:r>
      <w:bookmarkEnd w:id="124"/>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重要性标准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重要的单项计提坏账准备的应收账款</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公司将单项应收账款金额超过1亿元的应收账款认定为重要应收账款。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重要的单项计提坏账准备的其他应收款</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公司将单项其他应收款金额超过1000万元的其他应收款认定为重要应收账款。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重要的在建工程项目</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单个项目的预算数大于5亿元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重要的账龄超过1年的应付账款</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公司将账龄超过1年且单项金额超过1亿元的其他应付款认定为重要的账龄超过1年的其他应付款。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重要的账龄超过1年的其他应付款</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公司将账龄超过1年且单项金额超过5000万元的其他应付款认定为重要的账龄超过1年的其他应付款。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重要的投资活动现金流量</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单项投资活动总额大于3亿元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重要的子公司、非全资子公司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公司将净利润超过集团净利润10%的子公司确定为重要子公司、重要非全资子公司。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重要的合营企业、联营企业、共同经营</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公司将投资总额超过2亿元的合营企业、联营企业认定为重要的合营企业、联营企业。</w:t>
            </w:r>
          </w:p>
        </w:tc>
      </w:tr>
    </w:tbl>
    <w:p>
      <w:pPr>
        <w:keepNext/>
        <w:keepLines/>
        <w:spacing w:before="300" w:after="300" w:line="280" w:lineRule="exact"/>
        <w:jc w:val="left"/>
        <w:outlineLvl w:val="2"/>
        <w:rPr>
          <w:rFonts w:ascii="宋体" w:hAnsi="宋体" w:eastAsia="宋体" w:cs="宋体"/>
          <w:b/>
          <w:bCs/>
          <w:sz w:val="21"/>
          <w:szCs w:val="21"/>
        </w:rPr>
      </w:pPr>
      <w:bookmarkStart w:id="125" w:name="_Toc989014"/>
      <w:r>
        <w:rPr>
          <w:rFonts w:ascii="宋体" w:hAnsi="宋体" w:eastAsia="宋体" w:cs="宋体"/>
          <w:b/>
          <w:bCs/>
          <w:sz w:val="21"/>
          <w:szCs w:val="21"/>
        </w:rPr>
        <w:t>6、同一控制下和非同一控制下企业合并的会计处理方法</w:t>
      </w:r>
      <w:bookmarkEnd w:id="125"/>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7"/>
          <w:szCs w:val="27"/>
        </w:rPr>
      </w:pPr>
      <w:r>
        <w:rPr>
          <w:rFonts w:hint="eastAsia" w:ascii="宋体" w:hAnsi="宋体" w:eastAsia="宋体" w:cs="宋体"/>
          <w:color w:val="000000"/>
          <w:sz w:val="18"/>
          <w:szCs w:val="18"/>
        </w:rPr>
        <w:t>1.同一控制下企业合并的会计处理方法</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公司在企业合并中取得的资产和负债，按照合并日被合并方在最终控制方合并财务报表中的账面价值计量。公司按照被合并方所有者权益在最终控制方合并财务报表中的账面价值份额与支付的合并对价账面价值或发行股份面值总额的差额，调整资本公积；资本公积不足冲减的，调整留存收益。</w:t>
      </w:r>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7"/>
          <w:szCs w:val="27"/>
        </w:rPr>
      </w:pPr>
      <w:r>
        <w:rPr>
          <w:rFonts w:hint="eastAsia" w:ascii="宋体" w:hAnsi="宋体" w:eastAsia="宋体" w:cs="宋体"/>
          <w:color w:val="000000"/>
          <w:sz w:val="18"/>
          <w:szCs w:val="18"/>
        </w:rPr>
        <w:t>2.非同一控制下企业合并的会计处理方法</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公司在购买日对合并成本大于合并中取得的被购买方可辨认净资产公允价值份额的差额，确认为商誉；如果合并成本小于合并中取得的被购买方可辨认净资产公允价值份额，首先对取得的被购买方各项可辨认资产、负债及或有负债的公允价值以及合并成本的计量进行复核，经复核后合并成本仍小于合并中取得的被购买方可辨认净资产公允价值份额的，其差额计入当期损益。</w:t>
      </w:r>
    </w:p>
    <w:p>
      <w:pPr>
        <w:keepNext/>
        <w:keepLines/>
        <w:spacing w:before="300" w:after="300" w:line="280" w:lineRule="exact"/>
        <w:jc w:val="left"/>
        <w:outlineLvl w:val="2"/>
        <w:rPr>
          <w:rFonts w:ascii="宋体" w:hAnsi="宋体" w:eastAsia="宋体" w:cs="宋体"/>
          <w:b/>
          <w:bCs/>
          <w:sz w:val="21"/>
          <w:szCs w:val="21"/>
        </w:rPr>
      </w:pPr>
      <w:bookmarkStart w:id="126" w:name="_Toc989015"/>
      <w:r>
        <w:rPr>
          <w:rFonts w:ascii="宋体" w:hAnsi="宋体" w:eastAsia="宋体" w:cs="宋体"/>
          <w:b/>
          <w:bCs/>
          <w:sz w:val="21"/>
          <w:szCs w:val="21"/>
        </w:rPr>
        <w:t>7、控制的判断标准和合并财务报表的编制方法</w:t>
      </w:r>
      <w:bookmarkEnd w:id="126"/>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母公司将其控制的所有子公司纳入合并财务报表的合并范围。合并财务报表以母公司及其子公司的财务报表为基础，根据其他有关资料，由母公司按照《企业会计准则第33号——合并财务报表》编制。</w:t>
      </w:r>
    </w:p>
    <w:p>
      <w:pPr>
        <w:keepNext/>
        <w:keepLines/>
        <w:spacing w:before="300" w:after="300" w:line="280" w:lineRule="exact"/>
        <w:jc w:val="left"/>
        <w:outlineLvl w:val="2"/>
        <w:rPr>
          <w:rFonts w:ascii="宋体" w:hAnsi="宋体" w:eastAsia="宋体" w:cs="宋体"/>
          <w:b/>
          <w:bCs/>
          <w:sz w:val="21"/>
          <w:szCs w:val="21"/>
        </w:rPr>
      </w:pPr>
      <w:bookmarkStart w:id="127" w:name="_Toc989016"/>
      <w:r>
        <w:rPr>
          <w:rFonts w:ascii="宋体" w:hAnsi="宋体" w:eastAsia="宋体" w:cs="宋体"/>
          <w:b/>
          <w:bCs/>
          <w:sz w:val="21"/>
          <w:szCs w:val="21"/>
        </w:rPr>
        <w:t>8、合营安排分类及共同经营会计处理方法</w:t>
      </w:r>
      <w:bookmarkEnd w:id="127"/>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1. 合营安排分为共同经营和合营企业。</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2. 当公司为共同经营的合营方时，确认与共同经营中利益份额相关的下列项目：</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(1) 确认单独所持有的资产，以及按持有份额确认共同持有的资产；</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(2) 确认单独所承担的负债，以及按持有份额确认共同承担的负债；</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(3) 确认出售公司享有的共同经营产出份额所产生的收入；</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(4) 按公司持有份额确认共同经营因出售资产所产生的收入；</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(5) 确认单独所发生的费用，以及按公司持有份额确认共同经营发生的费用。</w:t>
      </w:r>
    </w:p>
    <w:p>
      <w:pPr>
        <w:keepNext/>
        <w:keepLines/>
        <w:spacing w:before="300" w:after="300" w:line="280" w:lineRule="exact"/>
        <w:jc w:val="left"/>
        <w:outlineLvl w:val="2"/>
        <w:rPr>
          <w:rFonts w:ascii="宋体" w:hAnsi="宋体" w:eastAsia="宋体" w:cs="宋体"/>
          <w:b/>
          <w:bCs/>
          <w:sz w:val="21"/>
          <w:szCs w:val="21"/>
        </w:rPr>
      </w:pPr>
      <w:bookmarkStart w:id="128" w:name="_Toc989017"/>
      <w:r>
        <w:rPr>
          <w:rFonts w:ascii="宋体" w:hAnsi="宋体" w:eastAsia="宋体" w:cs="宋体"/>
          <w:b/>
          <w:bCs/>
          <w:sz w:val="21"/>
          <w:szCs w:val="21"/>
        </w:rPr>
        <w:t>9、现金及现金等价物的确定标准</w:t>
      </w:r>
      <w:bookmarkEnd w:id="128"/>
    </w:p>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sz w:val="18"/>
          <w:szCs w:val="18"/>
        </w:rPr>
        <w:t>列示于现金流量表中的现金是指库存现金以及可以随时用于支付的存款。现金等价物是指企业持有的期限短、流动性强、易于转换为已知金额现金、价值变动风险很小的投资。</w:t>
      </w:r>
    </w:p>
    <w:p>
      <w:pPr>
        <w:keepNext/>
        <w:keepLines/>
        <w:spacing w:before="300" w:after="300" w:line="280" w:lineRule="exact"/>
        <w:jc w:val="left"/>
        <w:outlineLvl w:val="2"/>
        <w:rPr>
          <w:rFonts w:ascii="宋体" w:hAnsi="宋体" w:eastAsia="宋体" w:cs="宋体"/>
          <w:b/>
          <w:bCs/>
          <w:sz w:val="21"/>
          <w:szCs w:val="21"/>
        </w:rPr>
      </w:pPr>
      <w:bookmarkStart w:id="129" w:name="_Toc989018"/>
      <w:r>
        <w:rPr>
          <w:rFonts w:ascii="宋体" w:hAnsi="宋体" w:eastAsia="宋体" w:cs="宋体"/>
          <w:b/>
          <w:bCs/>
          <w:sz w:val="21"/>
          <w:szCs w:val="21"/>
        </w:rPr>
        <w:t>10、外币业务和外币报表折算</w:t>
      </w:r>
      <w:bookmarkEnd w:id="129"/>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7"/>
          <w:szCs w:val="27"/>
        </w:rPr>
      </w:pPr>
      <w:r>
        <w:rPr>
          <w:rFonts w:hint="eastAsia" w:ascii="宋体" w:hAnsi="宋体" w:eastAsia="宋体" w:cs="宋体"/>
          <w:color w:val="000000"/>
          <w:sz w:val="18"/>
          <w:szCs w:val="18"/>
        </w:rPr>
        <w:t>1.外币业务折算</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外币交易在初始确认时，采用交易发生日的即期汇率折算为人民币金额。资产负债表日，外币货币性项目采用资产负债表日即期汇率折算，因汇率不同而产生的汇兑差额，除与购建符合资本化条件资产有关的外币专门借款本金及利息的汇兑差额外，计入当期损益；以历史成本计量的外币非货币性项目仍采用交易发生日的即期汇率折算，不改变其人民币金额；以公允价值计量的外币非货币性项目，采用公允价值确定日的即期汇率折算，差额计入当期损益或其他综合收益。</w:t>
      </w:r>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7"/>
          <w:szCs w:val="27"/>
        </w:rPr>
      </w:pPr>
      <w:r>
        <w:rPr>
          <w:rFonts w:hint="eastAsia" w:ascii="宋体" w:hAnsi="宋体" w:eastAsia="宋体" w:cs="宋体"/>
          <w:color w:val="000000"/>
          <w:sz w:val="18"/>
          <w:szCs w:val="18"/>
        </w:rPr>
        <w:t>2.外币财务报表折算</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资产负债表中的资产和负债项目，采用资产负债表日的即期汇率折算；所有者权益项目除“未分配利润”项目外，其他项目采用交易发生日的即期汇率折算；利润表中的收入和费用项目，采用交易发生日的即期汇率折算。按照上述折算产生的外币财务报表折算差额，计入其他综合收益。</w:t>
      </w:r>
    </w:p>
    <w:p>
      <w:pPr>
        <w:keepNext/>
        <w:keepLines/>
        <w:spacing w:before="300" w:after="300" w:line="280" w:lineRule="exact"/>
        <w:jc w:val="left"/>
        <w:outlineLvl w:val="2"/>
        <w:rPr>
          <w:rFonts w:ascii="宋体" w:hAnsi="宋体" w:eastAsia="宋体" w:cs="宋体"/>
          <w:b/>
          <w:bCs/>
          <w:sz w:val="21"/>
          <w:szCs w:val="21"/>
        </w:rPr>
      </w:pPr>
      <w:bookmarkStart w:id="130" w:name="_Toc989019"/>
      <w:r>
        <w:rPr>
          <w:rFonts w:ascii="宋体" w:hAnsi="宋体" w:eastAsia="宋体" w:cs="宋体"/>
          <w:b/>
          <w:bCs/>
          <w:sz w:val="21"/>
          <w:szCs w:val="21"/>
        </w:rPr>
        <w:t>11、金融工具</w:t>
      </w:r>
      <w:bookmarkEnd w:id="130"/>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7"/>
          <w:szCs w:val="27"/>
        </w:rPr>
      </w:pPr>
      <w:r>
        <w:rPr>
          <w:rFonts w:hint="eastAsia" w:ascii="宋体" w:hAnsi="宋体" w:eastAsia="宋体" w:cs="宋体"/>
          <w:color w:val="000000"/>
          <w:sz w:val="18"/>
          <w:szCs w:val="18"/>
        </w:rPr>
        <w:t>1. 金融资产和金融负债的分类</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金融资产在初始确认时划分为以下三类：(1) 以摊余成本计量的金融资产；(2) 以公允价值计量且其变动计入其他综合收益的金融资产；(3) 以公允价值计量且其变动计入当期损益的金融资产。</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金融负债在初始确认时划分为以下四类：(1) 以公允价值计量且其变动计入当期损益的金融负债；(2) 金融资产转移不符合终止确认条件或继续涉入被转移金融资产所形成的金融负债；(3) 不属于上述(1)或(2)的财务担保合同，以及不属于上述(1)并以低于市场利率贷款的贷款承诺；(4) 以摊余成本计量的金融负债。</w:t>
      </w:r>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7"/>
          <w:szCs w:val="27"/>
        </w:rPr>
      </w:pPr>
      <w:r>
        <w:rPr>
          <w:rFonts w:hint="eastAsia" w:ascii="宋体" w:hAnsi="宋体" w:eastAsia="宋体" w:cs="宋体"/>
          <w:color w:val="000000"/>
          <w:sz w:val="18"/>
          <w:szCs w:val="18"/>
        </w:rPr>
        <w:t>2. 金融资产和金融负债的确认依据、计量方法和终止确认条件</w:t>
      </w:r>
    </w:p>
    <w:p>
      <w:pPr>
        <w:pStyle w:val="3"/>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4"/>
          <w:szCs w:val="24"/>
        </w:rPr>
      </w:pPr>
      <w:r>
        <w:rPr>
          <w:rFonts w:hint="eastAsia" w:ascii="宋体" w:hAnsi="宋体" w:eastAsia="宋体" w:cs="宋体"/>
          <w:color w:val="000000"/>
          <w:sz w:val="18"/>
          <w:szCs w:val="18"/>
        </w:rPr>
        <w:t>(1) 金融资产和金融负债的确认依据和初始计量方法</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公司成为金融工具合同的一方时，确认一项金融资产或金融负债。初始确认金融资产或金融负债时，按照公允价值计量；对于以公允价值计量且其变动计入当期损益的金融资产和金融负债，相关交易费用直接计入当期损益；对于其他类别的金融资产或金融负债，相关交易费用计入初始确认金额。但是，公司初始确认的应收账款未包含重大融资成分或公司不考虑未超过一年的合同中的融资成分的，按照《企业会计准则第14号——收入》所定义的交易价格进行初始计量。</w:t>
      </w:r>
    </w:p>
    <w:p>
      <w:pPr>
        <w:pStyle w:val="3"/>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4"/>
          <w:szCs w:val="24"/>
        </w:rPr>
      </w:pPr>
      <w:r>
        <w:rPr>
          <w:rFonts w:hint="eastAsia" w:ascii="宋体" w:hAnsi="宋体" w:eastAsia="宋体" w:cs="宋体"/>
          <w:color w:val="000000"/>
          <w:sz w:val="18"/>
          <w:szCs w:val="18"/>
        </w:rPr>
        <w:t>(2) 金融资产的后续计量方法</w:t>
      </w:r>
    </w:p>
    <w:p>
      <w:pPr>
        <w:pStyle w:val="4"/>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0"/>
          <w:szCs w:val="20"/>
        </w:rPr>
      </w:pPr>
      <w:r>
        <w:rPr>
          <w:rFonts w:hint="eastAsia" w:ascii="宋体" w:hAnsi="宋体" w:eastAsia="宋体" w:cs="宋体"/>
          <w:color w:val="000000"/>
          <w:sz w:val="18"/>
          <w:szCs w:val="18"/>
        </w:rPr>
        <w:t>1) 以摊余成本计量的金融资产</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采用实际利率法，按照摊余成本进行后续计量。以摊余成本计量且不属于任何套期关系的一部分的金融资产所产生的利得或损失，在终止确认、重分类、按照实际利率法摊销或确认减值时，计入当期损益。</w:t>
      </w:r>
    </w:p>
    <w:p>
      <w:pPr>
        <w:pStyle w:val="4"/>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0"/>
          <w:szCs w:val="20"/>
        </w:rPr>
      </w:pPr>
      <w:r>
        <w:rPr>
          <w:rFonts w:hint="eastAsia" w:ascii="宋体" w:hAnsi="宋体" w:eastAsia="宋体" w:cs="宋体"/>
          <w:color w:val="000000"/>
          <w:sz w:val="18"/>
          <w:szCs w:val="18"/>
        </w:rPr>
        <w:t>2) 以公允价值计量且其变动计入其他综合收益的债务工具投资</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采用公允价值进行后续计量。采用实际利率法计算的利息、减值损失或利得及汇兑损益计入当期损益，其他利得或损失计入其他综合收益。终止确认时，将之前计入其他综合收益的累计利得或损失从其他综合收益中转出，计入当期损益。</w:t>
      </w:r>
    </w:p>
    <w:p>
      <w:pPr>
        <w:pStyle w:val="4"/>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0"/>
          <w:szCs w:val="20"/>
        </w:rPr>
      </w:pPr>
      <w:r>
        <w:rPr>
          <w:rFonts w:hint="eastAsia" w:ascii="宋体" w:hAnsi="宋体" w:eastAsia="宋体" w:cs="宋体"/>
          <w:color w:val="000000"/>
          <w:sz w:val="18"/>
          <w:szCs w:val="18"/>
        </w:rPr>
        <w:t>3) 以公允价值计量且其变动计入其他综合收益的权益工具投资</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采用公允价值进行后续计量。获得的股利（属于投资成本收回部分的除外）计入当期损益，其他利得或损失计入其他综合收益。终止确认时，将之前计入其他综合收益的累计利得或损失从其他综合收益中转出，计入留存收益。</w:t>
      </w:r>
    </w:p>
    <w:p>
      <w:pPr>
        <w:pStyle w:val="4"/>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0"/>
          <w:szCs w:val="20"/>
        </w:rPr>
      </w:pPr>
      <w:r>
        <w:rPr>
          <w:rFonts w:hint="eastAsia" w:ascii="宋体" w:hAnsi="宋体" w:eastAsia="宋体" w:cs="宋体"/>
          <w:color w:val="000000"/>
          <w:sz w:val="18"/>
          <w:szCs w:val="18"/>
        </w:rPr>
        <w:t>4) 以公允价值计量且其变动计入当期损益的金融资产</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采用公允价值进行后续计量，产生的利得或损失（包括利息和股利收入）计入当期损益，除非该金融资产属于套期关系的一部分。</w:t>
      </w:r>
    </w:p>
    <w:p>
      <w:pPr>
        <w:pStyle w:val="3"/>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4"/>
          <w:szCs w:val="24"/>
        </w:rPr>
      </w:pPr>
      <w:r>
        <w:rPr>
          <w:rFonts w:hint="eastAsia" w:ascii="宋体" w:hAnsi="宋体" w:eastAsia="宋体" w:cs="宋体"/>
          <w:color w:val="000000"/>
          <w:sz w:val="18"/>
          <w:szCs w:val="18"/>
        </w:rPr>
        <w:t>(3) 金融负债的后续计量方法</w:t>
      </w:r>
    </w:p>
    <w:p>
      <w:pPr>
        <w:pStyle w:val="4"/>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0"/>
          <w:szCs w:val="20"/>
        </w:rPr>
      </w:pPr>
      <w:r>
        <w:rPr>
          <w:rFonts w:hint="eastAsia" w:ascii="宋体" w:hAnsi="宋体" w:eastAsia="宋体" w:cs="宋体"/>
          <w:color w:val="000000"/>
          <w:sz w:val="18"/>
          <w:szCs w:val="18"/>
        </w:rPr>
        <w:t>1) 以公允价值计量且其变动计入当期损益的金融负债</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此类金融负债包括交易性金融负债（含属于金融负债的衍生工具）和指定为以公允价值计量且其变动计入当期损益的金融负债。对于此类金融负债以公允价值进行后续计量。因公司自身信用风险变动引起的指定为以公允价值计量且其变动计入当期损益的金融负债的公允价值变动金额计入其他综合收益，除非该处理会造成或扩大损益中的会计错配。此类金融负债产生的其他利得或损失（包括利息费用、除因公司自身信用风险变动引起的公允价值变动）计入当期损益，除非该金融负债属于套期关系的一部分。终止确认时，将之前计入其他综合收益的累计利得或损失从其他综合收益中转出，计入留存收益。</w:t>
      </w:r>
    </w:p>
    <w:p>
      <w:pPr>
        <w:pStyle w:val="4"/>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0"/>
          <w:szCs w:val="20"/>
        </w:rPr>
      </w:pPr>
      <w:r>
        <w:rPr>
          <w:rFonts w:hint="eastAsia" w:ascii="宋体" w:hAnsi="宋体" w:eastAsia="宋体" w:cs="宋体"/>
          <w:color w:val="000000"/>
          <w:sz w:val="18"/>
          <w:szCs w:val="18"/>
        </w:rPr>
        <w:t>2) 金融资产转移不符合终止确认条件或继续涉入被转移金融资产所形成的金融负债</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按照《企业会计准则第23号——金融资产转移》相关规定进行计量。</w:t>
      </w:r>
    </w:p>
    <w:p>
      <w:pPr>
        <w:pStyle w:val="4"/>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0"/>
          <w:szCs w:val="20"/>
        </w:rPr>
      </w:pPr>
      <w:r>
        <w:rPr>
          <w:rFonts w:hint="eastAsia" w:ascii="宋体" w:hAnsi="宋体" w:eastAsia="宋体" w:cs="宋体"/>
          <w:color w:val="000000"/>
          <w:sz w:val="18"/>
          <w:szCs w:val="18"/>
        </w:rPr>
        <w:t>3) 不属于上述1)或2)的财务担保合同，以及不属于上述1)并以低于市场利率贷款的贷款承诺</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在初始确认后按照下列两项金额之中的较高者进行后续计量：① 按照金融工具的减值规定确定的损失准备金额；② 初始确认金额扣除按照《企业会计准则第14号——收入》相关规定所确定的累计摊销额后的余额。</w:t>
      </w:r>
    </w:p>
    <w:p>
      <w:pPr>
        <w:pStyle w:val="4"/>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0"/>
          <w:szCs w:val="20"/>
        </w:rPr>
      </w:pPr>
      <w:r>
        <w:rPr>
          <w:rFonts w:hint="eastAsia" w:ascii="宋体" w:hAnsi="宋体" w:eastAsia="宋体" w:cs="宋体"/>
          <w:color w:val="000000"/>
          <w:sz w:val="18"/>
          <w:szCs w:val="18"/>
        </w:rPr>
        <w:t>4) 以摊余成本计量的金融负债</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采用实际利率法以摊余成本计量。以摊余成本计量且不属于任何套期关系的一部分的金融负债所产生的利得或损失，在终止确认、按照实际利率法摊销时计入当期损益。</w:t>
      </w:r>
    </w:p>
    <w:p>
      <w:pPr>
        <w:pStyle w:val="3"/>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4"/>
          <w:szCs w:val="24"/>
        </w:rPr>
      </w:pPr>
      <w:r>
        <w:rPr>
          <w:rFonts w:hint="eastAsia" w:ascii="宋体" w:hAnsi="宋体" w:eastAsia="宋体" w:cs="宋体"/>
          <w:color w:val="000000"/>
          <w:sz w:val="18"/>
          <w:szCs w:val="18"/>
        </w:rPr>
        <w:t>(4) 金融资产和金融负债的终止确认</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1) 当满足下列条件之一时，终止确认金融资产：</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① 收取金融资产现金流量的合同权利已终止；</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② 金融资产已转移，且该转移满足《企业会计准则第23号——金融资产转移》关于金融资产终止确认的规定。</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2) 当金融负债（或其一部分）的现时义务已经解除时，相应终止确认该金融负债（或该部分金融负债）。</w:t>
      </w:r>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7"/>
          <w:szCs w:val="27"/>
        </w:rPr>
      </w:pPr>
      <w:r>
        <w:rPr>
          <w:rFonts w:hint="eastAsia" w:ascii="宋体" w:hAnsi="宋体" w:eastAsia="宋体" w:cs="宋体"/>
          <w:color w:val="000000"/>
          <w:sz w:val="18"/>
          <w:szCs w:val="18"/>
        </w:rPr>
        <w:t>3. 金融资产转移的确认依据和计量方法</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公司转移了金融资产所有权上几乎所有的风险和报酬的，终止确认该金融资产，并将转移中产生或保留的权利和义务单独确认为资产或负债；保留了金融资产所有权上几乎所有的风险和报酬的，继续确认所转移的金融资产。公司既没有转移也没有保留金融资产所有权上几乎所有的风险和报酬的，分别下列情况处理：(1) 未保留对该金融资产控制的，终止确认该金融资产，并将转移中产生或保留的权利和义务单独确认为资产或负债；(2) 保留了对该金融资产控制的，按照继续涉入所转移金融资产的程度确认有关金融资产，并相应确认有关负债。</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金融资产整体转移满足终止确认条件的，将下列两项金额的差额计入当期损益：(1) 所转移金融资产在终止确认日的账面价值；(2) 因转移金融资产而收到的对价，与原直接计入其他综合收益的公允价值变动累计额中对应终止确认部分的金额（涉及转移的金融资产为以公允价值计量且其变动计入其他综合收益的债务工具投资）之和。转移了金融资产的一部分，且该被转移部分整体满足终止确认条件的，将转移前金融资产整体的账面价值，在终止确认部分和继续确认部分之间，按照转移日各自的相对公允价值进行分摊，并将下列两项金额的差额计入当期损益：(1) 终止确认部分的账面价值；(2) 终止确认部分的对价，与原直接计入其他综合收益的公允价值变动累计额中对应终止确认部分的金额（涉及转移的金融资产为以公允价值计量且其变动计入其他综合收益的债务工具投资）之和。</w:t>
      </w:r>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7"/>
          <w:szCs w:val="27"/>
        </w:rPr>
      </w:pPr>
      <w:r>
        <w:rPr>
          <w:rFonts w:hint="eastAsia" w:ascii="宋体" w:hAnsi="宋体" w:eastAsia="宋体" w:cs="宋体"/>
          <w:color w:val="000000"/>
          <w:sz w:val="18"/>
          <w:szCs w:val="18"/>
        </w:rPr>
        <w:t>4. 金融资产和金融负债的公允价值确定方法</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公司采用在当前情况下适用并且有足够可利用数据和其他信息支持的估值技术确定相关金融资产和金融负债的公允价值。公司将估值技术使用的输入值分以下层级，并依次使用：</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(1) 第一层次输入值是在计量日能够取得的相同资产或负债在活跃市场上未经调整的报价；</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(2) 第二层次输入值是除第一层次输入值外相关资产或负债直接或间接可观察的输入值，包括：活跃市场中类似资产或负债的报价；非活跃市场中相同或类似资产或负债的报价；除报价以外的其他可观察输入值，如在正常报价间隔期间可观察的利率和收益率曲线等；市场验证的输入值等；</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(3) 第三层次输入值是相关资产或负债的不可观察输入值，包括不能直接观察或无法由可观察市场数据验证的利率、股票波动率、企业合并中承担的弃置义务的未来现金流量、使用自身数据作出的财务预测等。</w:t>
      </w:r>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7"/>
          <w:szCs w:val="27"/>
        </w:rPr>
      </w:pPr>
      <w:r>
        <w:rPr>
          <w:rFonts w:hint="eastAsia" w:ascii="宋体" w:hAnsi="宋体" w:eastAsia="宋体" w:cs="宋体"/>
          <w:color w:val="000000"/>
          <w:sz w:val="18"/>
          <w:szCs w:val="18"/>
        </w:rPr>
        <w:t>5. 金融工具减值</w:t>
      </w:r>
    </w:p>
    <w:p>
      <w:pPr>
        <w:pStyle w:val="3"/>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4"/>
          <w:szCs w:val="24"/>
        </w:rPr>
      </w:pPr>
      <w:r>
        <w:rPr>
          <w:rFonts w:hint="eastAsia" w:ascii="宋体" w:hAnsi="宋体" w:eastAsia="宋体" w:cs="宋体"/>
          <w:color w:val="000000"/>
          <w:sz w:val="18"/>
          <w:szCs w:val="18"/>
        </w:rPr>
        <w:t>(1) 金融工具减值计量和会计处理</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公司以预期信用损失为基础，对以摊余成本计量的金融资产、以公允价值计量且其变动计入其他综合收益的债务工具投资、合同资产、租赁应收款、分类为以公允价值计量且其变动计入当期损益的金融负债以外的贷款承诺、不属于以公允价值计量且其变动计入当期损益的金融负债或不属于金融资产转移不符合终止确认条件或继续涉入被转移金融资产所形成的金融负债的财务担保合同进行减值处理并确认损失准备。</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预期信用损失，是指以发生违约的风险为权重的金融工具信用损失的加权平均值。信用损失，是指公司按照原实际利率折现的、根据合同应收的所有合同现金流量与预期收取的所有现金流量之间的差额，即全部现金短缺的现值。其中，对于公司购买或源生的已发生信用减值的金融资产，按照该金融资产经信用调整的实际利率折现。</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对于购买或源生的已发生信用减值的金融资产，公司在资产负债表日仅将自初始确认后整个存续期内预期信用损失的累计变动确认为损失准备。</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对于租赁应收款、由《企业会计准则第14号——收入》规范的交易形成，且不含重大融资成分或者公司不考虑不超过一年的合同中的融资成分的应收款项及合同资产，公司运用简化计量方法，按照相当于整个存续期内的预期信用损失金额计量损失准备。</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除上述计量方法以外的金融资产，公司在每个资产负债表日评估其信用风险自初始确认后是否已经显著增加。如果信用风险自初始确认后已显著增加，公司按照整个存续期内预期信用损失的金额计量损失准备；如果信用风险自初始确认后未显著增加，公司按照该金融工具未来12个月内预期信用损失的金额计量损失准备。</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公司利用可获得的合理且有依据的信息，包括前瞻性信息，通过比较金融工具在资产负债表日发生违约的风险与在初始确认日发生违约的风险，以确定金融工具的信用风险自初始确认后是否已显著增加。</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于资产负债表日，若公司判断金融工具只具有较低的信用风险，则假定该金融工具的信用风险自初始确认后并未显著增加。</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公司以单项金融工具或金融工具组合为基础评估预期信用风险和计量预期信用损失。当以金融工具组合为基础时，公司以共同风险特征为依据，将金融工具划分为不同组合。</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公司在每个资产负债表日重新计量预期信用损失，由此形成的损失准备的增加或转回金额，作为减值损失或利得计入当期损益。对于以摊余成本计量的金融资产，损失准备抵减该金融资产在资产负债表中列示的账面价值；对于以公允价值计量且其变动计入其他综合收益的债权投资，公司在其他综合收益中确认其损失准备，不抵减该金融资产的账面价值。</w:t>
      </w:r>
    </w:p>
    <w:p>
      <w:pPr>
        <w:pStyle w:val="3"/>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4"/>
          <w:szCs w:val="24"/>
        </w:rPr>
      </w:pPr>
      <w:r>
        <w:rPr>
          <w:rFonts w:hint="eastAsia" w:ascii="宋体" w:hAnsi="宋体" w:eastAsia="宋体" w:cs="宋体"/>
          <w:color w:val="000000"/>
          <w:sz w:val="18"/>
          <w:szCs w:val="18"/>
        </w:rPr>
        <w:t>(2) 按组合评估预期信用风险并采用三阶段模型计量预期信用损失的金融工具</w:t>
      </w:r>
    </w:p>
    <w:tbl>
      <w:tblPr>
        <w:tblStyle w:val="6"/>
        <w:tblW w:w="985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3403"/>
        <w:gridCol w:w="3277"/>
        <w:gridCol w:w="317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340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firstLine="210"/>
              <w:jc w:val="left"/>
              <w:rPr>
                <w:rFonts w:hint="default" w:ascii="Times New Roman" w:hAnsi="Times New Roman" w:cs="Times New Roman"/>
                <w:sz w:val="24"/>
                <w:szCs w:val="24"/>
              </w:rPr>
            </w:pPr>
            <w:r>
              <w:rPr>
                <w:rFonts w:hint="eastAsia" w:ascii="宋体" w:hAnsi="宋体" w:eastAsia="宋体" w:cs="宋体"/>
                <w:sz w:val="18"/>
                <w:szCs w:val="18"/>
              </w:rPr>
              <w:t>项  目</w:t>
            </w:r>
          </w:p>
        </w:tc>
        <w:tc>
          <w:tcPr>
            <w:tcW w:w="327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宋体" w:hAnsi="宋体" w:eastAsia="宋体" w:cs="宋体"/>
                <w:sz w:val="18"/>
                <w:szCs w:val="18"/>
              </w:rPr>
              <w:t>确定组合的依据</w:t>
            </w:r>
          </w:p>
        </w:tc>
        <w:tc>
          <w:tcPr>
            <w:tcW w:w="317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宋体" w:hAnsi="宋体" w:eastAsia="宋体" w:cs="宋体"/>
                <w:sz w:val="18"/>
                <w:szCs w:val="18"/>
              </w:rPr>
              <w:t>计量预期信用损失的方法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340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eastAsia" w:ascii="宋体" w:hAnsi="宋体" w:eastAsia="宋体" w:cs="宋体"/>
                <w:sz w:val="18"/>
                <w:szCs w:val="18"/>
              </w:rPr>
              <w:t>其他应收款——账龄组合</w:t>
            </w:r>
          </w:p>
        </w:tc>
        <w:tc>
          <w:tcPr>
            <w:tcW w:w="32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eastAsia" w:ascii="宋体" w:hAnsi="宋体" w:eastAsia="宋体" w:cs="宋体"/>
                <w:sz w:val="18"/>
                <w:szCs w:val="18"/>
              </w:rPr>
              <w:t>账龄</w:t>
            </w:r>
          </w:p>
        </w:tc>
        <w:tc>
          <w:tcPr>
            <w:tcW w:w="317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sz w:val="18"/>
                <w:szCs w:val="18"/>
              </w:rPr>
              <w:t>依据其他应收款信用风险自初始确认后是否已经显著增加，采用相当于未来12个月内、或整个存续期的预期信用损失的金额计量减值损失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340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sz w:val="18"/>
                <w:szCs w:val="18"/>
              </w:rPr>
              <w:t>其他应收款——低风险组合</w:t>
            </w:r>
          </w:p>
        </w:tc>
        <w:tc>
          <w:tcPr>
            <w:tcW w:w="32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sz w:val="18"/>
                <w:szCs w:val="18"/>
              </w:rPr>
              <w:t>本组合为日常经常活动中应收取的保证金、押金及关联方往来款</w:t>
            </w:r>
          </w:p>
        </w:tc>
        <w:tc>
          <w:tcPr>
            <w:tcW w:w="317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r>
    </w:tbl>
    <w:p>
      <w:pPr>
        <w:pStyle w:val="3"/>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4"/>
          <w:szCs w:val="24"/>
        </w:rPr>
      </w:pPr>
      <w:r>
        <w:rPr>
          <w:rFonts w:hint="eastAsia" w:ascii="宋体" w:hAnsi="宋体" w:eastAsia="宋体" w:cs="宋体"/>
          <w:color w:val="000000"/>
          <w:sz w:val="18"/>
          <w:szCs w:val="18"/>
        </w:rPr>
        <w:t>(3) 采用简化计量方法，按组合计量预期信用损失的应收款项</w:t>
      </w:r>
    </w:p>
    <w:p>
      <w:pPr>
        <w:pStyle w:val="4"/>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0"/>
          <w:szCs w:val="20"/>
        </w:rPr>
      </w:pPr>
      <w:r>
        <w:rPr>
          <w:rFonts w:hint="eastAsia" w:ascii="宋体" w:hAnsi="宋体" w:eastAsia="宋体" w:cs="宋体"/>
          <w:color w:val="000000"/>
          <w:sz w:val="18"/>
          <w:szCs w:val="18"/>
        </w:rPr>
        <w:t>1) 具体组合及计量预期信用损失的方法</w:t>
      </w:r>
    </w:p>
    <w:tbl>
      <w:tblPr>
        <w:tblStyle w:val="6"/>
        <w:tblW w:w="985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3240"/>
        <w:gridCol w:w="2950"/>
        <w:gridCol w:w="366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324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firstLine="210"/>
              <w:jc w:val="left"/>
              <w:rPr>
                <w:rFonts w:hint="default" w:ascii="Times New Roman" w:hAnsi="Times New Roman" w:cs="Times New Roman"/>
                <w:sz w:val="24"/>
                <w:szCs w:val="24"/>
              </w:rPr>
            </w:pPr>
            <w:r>
              <w:rPr>
                <w:rFonts w:hint="eastAsia" w:ascii="宋体" w:hAnsi="宋体" w:eastAsia="宋体" w:cs="宋体"/>
                <w:sz w:val="18"/>
                <w:szCs w:val="18"/>
              </w:rPr>
              <w:t>项  目</w:t>
            </w:r>
          </w:p>
        </w:tc>
        <w:tc>
          <w:tcPr>
            <w:tcW w:w="29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宋体" w:hAnsi="宋体" w:eastAsia="宋体" w:cs="宋体"/>
                <w:sz w:val="18"/>
                <w:szCs w:val="18"/>
              </w:rPr>
              <w:t>确定组合的依据</w:t>
            </w:r>
          </w:p>
        </w:tc>
        <w:tc>
          <w:tcPr>
            <w:tcW w:w="36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宋体" w:hAnsi="宋体" w:eastAsia="宋体" w:cs="宋体"/>
                <w:sz w:val="18"/>
                <w:szCs w:val="18"/>
              </w:rPr>
              <w:t>计量预期信用损失的方法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32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eastAsia" w:ascii="宋体" w:hAnsi="宋体" w:eastAsia="宋体" w:cs="宋体"/>
                <w:sz w:val="18"/>
                <w:szCs w:val="18"/>
              </w:rPr>
              <w:t>银行承兑汇票</w:t>
            </w:r>
          </w:p>
        </w:tc>
        <w:tc>
          <w:tcPr>
            <w:tcW w:w="29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sz w:val="18"/>
                <w:szCs w:val="18"/>
              </w:rPr>
              <w:t>承兑人为信用风险较小的银行</w:t>
            </w:r>
          </w:p>
        </w:tc>
        <w:tc>
          <w:tcPr>
            <w:tcW w:w="366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sz w:val="18"/>
                <w:szCs w:val="18"/>
              </w:rPr>
              <w:t>对于应收票据按照相当于整个存续期内的预期信用损失金额计量损失准备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32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eastAsia" w:ascii="宋体" w:hAnsi="宋体" w:eastAsia="宋体" w:cs="宋体"/>
                <w:sz w:val="18"/>
                <w:szCs w:val="18"/>
              </w:rPr>
              <w:t>商业承兑汇票</w:t>
            </w:r>
          </w:p>
        </w:tc>
        <w:tc>
          <w:tcPr>
            <w:tcW w:w="29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sz w:val="18"/>
                <w:szCs w:val="18"/>
              </w:rPr>
              <w:t>根据承兑人的信用风险划分，应与“应收账款”组合划分相同</w:t>
            </w:r>
          </w:p>
        </w:tc>
        <w:tc>
          <w:tcPr>
            <w:tcW w:w="366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32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eastAsia" w:ascii="宋体" w:hAnsi="宋体" w:eastAsia="宋体" w:cs="宋体"/>
                <w:sz w:val="18"/>
                <w:szCs w:val="18"/>
              </w:rPr>
              <w:t>应收账款——账龄组合</w:t>
            </w:r>
          </w:p>
        </w:tc>
        <w:tc>
          <w:tcPr>
            <w:tcW w:w="29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sz w:val="18"/>
                <w:szCs w:val="18"/>
              </w:rPr>
              <w:t>以应收款项的账龄作为信用风险特征</w:t>
            </w:r>
          </w:p>
        </w:tc>
        <w:tc>
          <w:tcPr>
            <w:tcW w:w="366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sz w:val="18"/>
                <w:szCs w:val="18"/>
              </w:rPr>
              <w:t>对于不含重大融资成分的应收账款及合同资产,按照相当于整个存续期内的预期信用损失金额计量损失准备；对于包含重大融资成分的应收账款、合同资产和租赁应收款，本公司选择始终按照相当于存续期内预期信用损失的金额计量损失准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32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sz w:val="18"/>
                <w:szCs w:val="18"/>
              </w:rPr>
              <w:t>应收账款——低风险组合</w:t>
            </w:r>
          </w:p>
        </w:tc>
        <w:tc>
          <w:tcPr>
            <w:tcW w:w="29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sz w:val="18"/>
                <w:szCs w:val="18"/>
              </w:rPr>
              <w:t>本组合为信用等级较高的国内客户的应收电费(含电费补贴)以及未逾期的应收热费、服务费及商品销售款</w:t>
            </w:r>
          </w:p>
        </w:tc>
        <w:tc>
          <w:tcPr>
            <w:tcW w:w="366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r>
    </w:tbl>
    <w:p>
      <w:pPr>
        <w:pStyle w:val="4"/>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0"/>
          <w:szCs w:val="20"/>
        </w:rPr>
      </w:pPr>
      <w:r>
        <w:rPr>
          <w:rFonts w:hint="eastAsia" w:ascii="宋体" w:hAnsi="宋体" w:eastAsia="宋体" w:cs="宋体"/>
          <w:color w:val="000000"/>
          <w:sz w:val="18"/>
          <w:szCs w:val="18"/>
        </w:rPr>
        <w:t>2) 应收账款——账龄组合的账龄与整个存续期预期信用损失率对照表</w:t>
      </w:r>
    </w:p>
    <w:tbl>
      <w:tblPr>
        <w:tblStyle w:val="6"/>
        <w:tblW w:w="985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4223"/>
        <w:gridCol w:w="56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422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100" w:beforeAutospacing="0" w:after="0" w:afterAutospacing="0" w:line="300" w:lineRule="auto"/>
              <w:ind w:left="0" w:right="0" w:firstLine="210"/>
              <w:jc w:val="left"/>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账  龄</w:t>
            </w:r>
          </w:p>
        </w:tc>
        <w:tc>
          <w:tcPr>
            <w:tcW w:w="56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100" w:beforeAutospacing="0" w:after="0" w:afterAutospacing="0" w:line="300" w:lineRule="auto"/>
              <w:ind w:left="0" w:right="0"/>
              <w:jc w:val="center"/>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应收账款预期信用损失率（%）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422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100" w:beforeAutospacing="0" w:after="0" w:afterAutospacing="0" w:line="300" w:lineRule="auto"/>
              <w:ind w:left="0" w:right="0"/>
              <w:jc w:val="left"/>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1年以内（含，下同）</w:t>
            </w:r>
          </w:p>
        </w:tc>
        <w:tc>
          <w:tcPr>
            <w:tcW w:w="56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宋体" w:hAnsi="宋体" w:eastAsia="宋体" w:cs="宋体"/>
                <w:sz w:val="18"/>
                <w:szCs w:val="18"/>
              </w:rPr>
              <w:t>2.00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422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100" w:beforeAutospacing="0" w:after="0" w:afterAutospacing="0" w:line="300" w:lineRule="auto"/>
              <w:ind w:left="0" w:right="0"/>
              <w:jc w:val="left"/>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1-2年</w:t>
            </w:r>
          </w:p>
        </w:tc>
        <w:tc>
          <w:tcPr>
            <w:tcW w:w="56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宋体" w:hAnsi="宋体" w:eastAsia="宋体" w:cs="宋体"/>
                <w:sz w:val="18"/>
                <w:szCs w:val="18"/>
              </w:rPr>
              <w:t>10.00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422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100" w:beforeAutospacing="0" w:after="0" w:afterAutospacing="0" w:line="300" w:lineRule="auto"/>
              <w:ind w:left="0" w:right="0"/>
              <w:jc w:val="left"/>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2-3年</w:t>
            </w:r>
          </w:p>
        </w:tc>
        <w:tc>
          <w:tcPr>
            <w:tcW w:w="56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宋体" w:hAnsi="宋体" w:eastAsia="宋体" w:cs="宋体"/>
                <w:sz w:val="18"/>
                <w:szCs w:val="18"/>
              </w:rPr>
              <w:t>20.00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422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100" w:beforeAutospacing="0" w:after="0" w:afterAutospacing="0" w:line="300" w:lineRule="auto"/>
              <w:ind w:left="0" w:right="0"/>
              <w:jc w:val="left"/>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3-4年</w:t>
            </w:r>
          </w:p>
        </w:tc>
        <w:tc>
          <w:tcPr>
            <w:tcW w:w="56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宋体" w:hAnsi="宋体" w:eastAsia="宋体" w:cs="宋体"/>
                <w:sz w:val="18"/>
                <w:szCs w:val="18"/>
              </w:rPr>
              <w:t>50.00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422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100" w:beforeAutospacing="0" w:after="0" w:afterAutospacing="0" w:line="300" w:lineRule="auto"/>
              <w:ind w:left="0" w:right="0"/>
              <w:jc w:val="left"/>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4-5年</w:t>
            </w:r>
          </w:p>
        </w:tc>
        <w:tc>
          <w:tcPr>
            <w:tcW w:w="56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宋体" w:hAnsi="宋体" w:eastAsia="宋体" w:cs="宋体"/>
                <w:sz w:val="18"/>
                <w:szCs w:val="18"/>
              </w:rPr>
              <w:t>100.00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422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100" w:beforeAutospacing="0" w:after="0" w:afterAutospacing="0" w:line="300" w:lineRule="auto"/>
              <w:ind w:left="0" w:right="0"/>
              <w:jc w:val="left"/>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5年以上</w:t>
            </w:r>
          </w:p>
        </w:tc>
        <w:tc>
          <w:tcPr>
            <w:tcW w:w="56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宋体" w:hAnsi="宋体" w:eastAsia="宋体" w:cs="宋体"/>
                <w:sz w:val="18"/>
                <w:szCs w:val="18"/>
              </w:rPr>
              <w:t>100.00</w:t>
            </w:r>
          </w:p>
        </w:tc>
      </w:tr>
    </w:tbl>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7"/>
          <w:szCs w:val="27"/>
        </w:rPr>
      </w:pPr>
      <w:r>
        <w:rPr>
          <w:rFonts w:hint="eastAsia" w:ascii="宋体" w:hAnsi="宋体" w:eastAsia="宋体" w:cs="宋体"/>
          <w:color w:val="000000"/>
          <w:sz w:val="18"/>
          <w:szCs w:val="18"/>
        </w:rPr>
        <w:t>6. 金融资产和金融负债的抵销</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金融资产和金融负债在资产负债表内分别列示，不相互抵销。但同时满足下列条件的，公司以相互抵销后的净额在资产负债表内列示：(1) 公司具有抵销已确认金额的法定权利，且该种法定权利是当前可执行的；(2) 公司计划以净额结算，或同时变现该金融资产和清偿该金融负债。</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不满足终止确认条件的金融资产转移，公司不对已转移的金融资产和相关负债进行抵销。</w:t>
      </w:r>
    </w:p>
    <w:p>
      <w:pPr>
        <w:keepNext/>
        <w:keepLines/>
        <w:spacing w:before="300" w:after="300" w:line="280" w:lineRule="exact"/>
        <w:jc w:val="left"/>
        <w:outlineLvl w:val="2"/>
        <w:rPr>
          <w:rFonts w:ascii="宋体" w:hAnsi="宋体" w:eastAsia="宋体" w:cs="宋体"/>
          <w:b/>
          <w:bCs/>
          <w:sz w:val="21"/>
          <w:szCs w:val="21"/>
        </w:rPr>
      </w:pPr>
      <w:bookmarkStart w:id="131" w:name="_Toc989020"/>
      <w:r>
        <w:rPr>
          <w:rFonts w:ascii="宋体" w:hAnsi="宋体" w:eastAsia="宋体" w:cs="宋体"/>
          <w:b/>
          <w:bCs/>
          <w:sz w:val="21"/>
          <w:szCs w:val="21"/>
        </w:rPr>
        <w:t>12、应收票据</w:t>
      </w:r>
      <w:bookmarkEnd w:id="131"/>
    </w:p>
    <w:p>
      <w:pPr>
        <w:keepNext/>
        <w:keepLines/>
        <w:spacing w:before="300" w:after="300" w:line="280" w:lineRule="exact"/>
        <w:jc w:val="left"/>
        <w:outlineLvl w:val="2"/>
        <w:rPr>
          <w:rFonts w:ascii="宋体" w:hAnsi="宋体" w:eastAsia="宋体" w:cs="宋体"/>
          <w:b/>
          <w:bCs/>
          <w:sz w:val="21"/>
          <w:szCs w:val="21"/>
        </w:rPr>
      </w:pPr>
      <w:bookmarkStart w:id="132" w:name="_Toc989021"/>
      <w:r>
        <w:rPr>
          <w:rFonts w:ascii="宋体" w:hAnsi="宋体" w:eastAsia="宋体" w:cs="宋体"/>
          <w:b/>
          <w:bCs/>
          <w:sz w:val="21"/>
          <w:szCs w:val="21"/>
        </w:rPr>
        <w:t>13、应收账款</w:t>
      </w:r>
      <w:bookmarkEnd w:id="132"/>
    </w:p>
    <w:p>
      <w:pPr>
        <w:keepNext/>
        <w:keepLines/>
        <w:spacing w:before="300" w:after="300" w:line="280" w:lineRule="exact"/>
        <w:jc w:val="left"/>
        <w:outlineLvl w:val="2"/>
        <w:rPr>
          <w:rFonts w:ascii="宋体" w:hAnsi="宋体" w:eastAsia="宋体" w:cs="宋体"/>
          <w:b/>
          <w:bCs/>
          <w:sz w:val="21"/>
          <w:szCs w:val="21"/>
        </w:rPr>
      </w:pPr>
      <w:bookmarkStart w:id="133" w:name="_Toc989022"/>
      <w:r>
        <w:rPr>
          <w:rFonts w:ascii="宋体" w:hAnsi="宋体" w:eastAsia="宋体" w:cs="宋体"/>
          <w:b/>
          <w:bCs/>
          <w:sz w:val="21"/>
          <w:szCs w:val="21"/>
        </w:rPr>
        <w:t>14、应收款项融资</w:t>
      </w:r>
      <w:bookmarkEnd w:id="133"/>
    </w:p>
    <w:p>
      <w:pPr>
        <w:keepNext/>
        <w:keepLines/>
        <w:spacing w:before="300" w:after="300" w:line="280" w:lineRule="exact"/>
        <w:jc w:val="left"/>
        <w:outlineLvl w:val="2"/>
        <w:rPr>
          <w:rFonts w:ascii="宋体" w:hAnsi="宋体" w:eastAsia="宋体" w:cs="宋体"/>
          <w:b/>
          <w:bCs/>
          <w:sz w:val="21"/>
          <w:szCs w:val="21"/>
        </w:rPr>
      </w:pPr>
      <w:bookmarkStart w:id="134" w:name="_Toc989023"/>
      <w:r>
        <w:rPr>
          <w:rFonts w:ascii="宋体" w:hAnsi="宋体" w:eastAsia="宋体" w:cs="宋体"/>
          <w:b/>
          <w:bCs/>
          <w:sz w:val="21"/>
          <w:szCs w:val="21"/>
        </w:rPr>
        <w:t>15、其他应收款</w:t>
      </w:r>
      <w:bookmarkEnd w:id="134"/>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其他应收款的预期信用损失的确定方法及会计处理方法</w:t>
      </w:r>
    </w:p>
    <w:p>
      <w:pPr>
        <w:keepNext/>
        <w:keepLines/>
        <w:spacing w:before="300" w:after="300" w:line="280" w:lineRule="exact"/>
        <w:jc w:val="left"/>
        <w:outlineLvl w:val="2"/>
        <w:rPr>
          <w:rFonts w:ascii="宋体" w:hAnsi="宋体" w:eastAsia="宋体" w:cs="宋体"/>
          <w:b/>
          <w:bCs/>
          <w:sz w:val="21"/>
          <w:szCs w:val="21"/>
        </w:rPr>
      </w:pPr>
      <w:bookmarkStart w:id="135" w:name="_Toc989024"/>
      <w:r>
        <w:rPr>
          <w:rFonts w:ascii="宋体" w:hAnsi="宋体" w:eastAsia="宋体" w:cs="宋体"/>
          <w:b/>
          <w:bCs/>
          <w:sz w:val="21"/>
          <w:szCs w:val="21"/>
        </w:rPr>
        <w:t>16、合同资产</w:t>
      </w:r>
      <w:bookmarkEnd w:id="135"/>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公司根据履行履约义务与客户付款之间的关系在资产负债表中列示合同资产或合同负债。公司将同一合同下的合同资产和合同负债相互抵销后以净额列示。</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公司将拥有的、无条件(即，仅取决于时间流逝)向客户收取对价的权利作为应收款项列示，将已向客户转让商品而有权收取对价的权利（该权利取决于时间流逝之外的其他因素）作为合同资产列示。</w:t>
      </w:r>
    </w:p>
    <w:p>
      <w:pPr>
        <w:keepNext/>
        <w:keepLines/>
        <w:spacing w:before="300" w:after="300" w:line="280" w:lineRule="exact"/>
        <w:jc w:val="left"/>
        <w:outlineLvl w:val="2"/>
        <w:rPr>
          <w:rFonts w:ascii="宋体" w:hAnsi="宋体" w:eastAsia="宋体" w:cs="宋体"/>
          <w:b/>
          <w:bCs/>
          <w:sz w:val="21"/>
          <w:szCs w:val="21"/>
        </w:rPr>
      </w:pPr>
      <w:bookmarkStart w:id="136" w:name="_Toc989025"/>
      <w:r>
        <w:rPr>
          <w:rFonts w:ascii="宋体" w:hAnsi="宋体" w:eastAsia="宋体" w:cs="宋体"/>
          <w:b/>
          <w:bCs/>
          <w:sz w:val="21"/>
          <w:szCs w:val="21"/>
        </w:rPr>
        <w:t>17、存货</w:t>
      </w:r>
      <w:bookmarkEnd w:id="136"/>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7"/>
          <w:szCs w:val="27"/>
        </w:rPr>
      </w:pPr>
      <w:r>
        <w:rPr>
          <w:rFonts w:hint="eastAsia" w:ascii="宋体" w:hAnsi="宋体" w:eastAsia="宋体" w:cs="宋体"/>
          <w:color w:val="000000"/>
          <w:sz w:val="18"/>
          <w:szCs w:val="18"/>
        </w:rPr>
        <w:t>1.存货的分类</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存货包括在日常活动中持有以备出售的产成品或商品、处在生产过程中的在产品、在生产过程或提供劳务过程中耗用的材料和物料等。</w:t>
      </w:r>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7"/>
          <w:szCs w:val="27"/>
        </w:rPr>
      </w:pPr>
      <w:r>
        <w:rPr>
          <w:rFonts w:hint="eastAsia" w:ascii="宋体" w:hAnsi="宋体" w:eastAsia="宋体" w:cs="宋体"/>
          <w:color w:val="000000"/>
          <w:sz w:val="18"/>
          <w:szCs w:val="18"/>
        </w:rPr>
        <w:t>2.发出存货的计价方法</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发出存货采用月末一次加权平均法。</w:t>
      </w:r>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7"/>
          <w:szCs w:val="27"/>
        </w:rPr>
      </w:pPr>
      <w:r>
        <w:rPr>
          <w:rFonts w:hint="eastAsia" w:ascii="宋体" w:hAnsi="宋体" w:eastAsia="宋体" w:cs="宋体"/>
          <w:color w:val="000000"/>
          <w:sz w:val="18"/>
          <w:szCs w:val="18"/>
        </w:rPr>
        <w:t>3.存货可变现净值的确定依据</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资产负债表日，存货采用成本与可变现净值孰低计量，按照存货类别成本高于可变现净值的差额计提存货跌价准备。直接用于出售的存货，在正常生产经营过程中以该存货的估计售价减去估计的销售费用和相关税费后的金额确定其可变现净值；需要经过加工的存货，在正常生产经营过程中以所生产的产成品的估计售价减去至完工时估计将要发生的成本、估计的销售费用和相关税费后的金额确定其可变现净值；资产负债表日，同一项存货中一部分有合同价格约定、其他部分不存在合同价格的，分别确定其可变现净值，并与其对应的成本进行比较，分别确定存货跌价准备的计提或转回的金额。</w:t>
      </w:r>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7"/>
          <w:szCs w:val="27"/>
        </w:rPr>
      </w:pPr>
      <w:r>
        <w:rPr>
          <w:rFonts w:hint="eastAsia" w:ascii="宋体" w:hAnsi="宋体" w:eastAsia="宋体" w:cs="宋体"/>
          <w:color w:val="000000"/>
          <w:sz w:val="18"/>
          <w:szCs w:val="18"/>
        </w:rPr>
        <w:t>4.存货的盘存制度</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存货的盘存制度为永续盘存制。</w:t>
      </w:r>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7"/>
          <w:szCs w:val="27"/>
        </w:rPr>
      </w:pPr>
      <w:r>
        <w:rPr>
          <w:rFonts w:hint="eastAsia" w:ascii="宋体" w:hAnsi="宋体" w:eastAsia="宋体" w:cs="宋体"/>
          <w:color w:val="000000"/>
          <w:sz w:val="18"/>
          <w:szCs w:val="18"/>
        </w:rPr>
        <w:t>5.低值易耗品和包装物的摊销方法</w:t>
      </w:r>
    </w:p>
    <w:p>
      <w:pPr>
        <w:pStyle w:val="3"/>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4"/>
          <w:szCs w:val="24"/>
        </w:rPr>
      </w:pPr>
      <w:r>
        <w:rPr>
          <w:rFonts w:hint="eastAsia" w:ascii="宋体" w:hAnsi="宋体" w:eastAsia="宋体" w:cs="宋体"/>
          <w:color w:val="000000"/>
          <w:sz w:val="18"/>
          <w:szCs w:val="18"/>
        </w:rPr>
        <w:t>(1)低值易耗品</w:t>
      </w:r>
    </w:p>
    <w:p>
      <w:pPr>
        <w:pStyle w:val="5"/>
        <w:keepNext w:val="0"/>
        <w:keepLines w:val="0"/>
        <w:widowControl/>
        <w:suppressLineNumbers w:val="0"/>
        <w:spacing w:before="100" w:beforeAutospacing="0" w:after="0" w:afterAutospacing="0" w:line="360" w:lineRule="auto"/>
        <w:ind w:left="0" w:right="0" w:firstLine="420"/>
        <w:jc w:val="left"/>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按照一次转销法进行摊销。</w:t>
      </w:r>
    </w:p>
    <w:p>
      <w:pPr>
        <w:pStyle w:val="3"/>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4"/>
          <w:szCs w:val="24"/>
        </w:rPr>
      </w:pPr>
      <w:r>
        <w:rPr>
          <w:rFonts w:hint="eastAsia" w:ascii="宋体" w:hAnsi="宋体" w:eastAsia="宋体" w:cs="宋体"/>
          <w:color w:val="000000"/>
          <w:sz w:val="18"/>
          <w:szCs w:val="18"/>
        </w:rPr>
        <w:t>(2)包装物</w:t>
      </w:r>
    </w:p>
    <w:p>
      <w:pPr>
        <w:pStyle w:val="5"/>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eastAsia" w:ascii="宋体" w:hAnsi="宋体" w:eastAsia="宋体" w:cs="宋体"/>
          <w:sz w:val="18"/>
          <w:szCs w:val="18"/>
        </w:rPr>
        <w:t>  按照一次转销法进行摊销。</w:t>
      </w:r>
    </w:p>
    <w:p>
      <w:pPr>
        <w:keepNext/>
        <w:keepLines/>
        <w:spacing w:before="300" w:after="300" w:line="280" w:lineRule="exact"/>
        <w:jc w:val="left"/>
        <w:outlineLvl w:val="2"/>
        <w:rPr>
          <w:rFonts w:ascii="宋体" w:hAnsi="宋体" w:eastAsia="宋体" w:cs="宋体"/>
          <w:b/>
          <w:bCs/>
          <w:sz w:val="21"/>
          <w:szCs w:val="21"/>
        </w:rPr>
      </w:pPr>
      <w:bookmarkStart w:id="137" w:name="_Toc989026"/>
      <w:r>
        <w:rPr>
          <w:rFonts w:ascii="宋体" w:hAnsi="宋体" w:eastAsia="宋体" w:cs="宋体"/>
          <w:b/>
          <w:bCs/>
          <w:sz w:val="21"/>
          <w:szCs w:val="21"/>
        </w:rPr>
        <w:t>18、持有待售资产</w:t>
      </w:r>
      <w:bookmarkEnd w:id="137"/>
    </w:p>
    <w:p>
      <w:pPr>
        <w:keepNext/>
        <w:keepLines/>
        <w:spacing w:before="300" w:after="300" w:line="280" w:lineRule="exact"/>
        <w:jc w:val="left"/>
        <w:outlineLvl w:val="2"/>
        <w:rPr>
          <w:rFonts w:ascii="宋体" w:hAnsi="宋体" w:eastAsia="宋体" w:cs="宋体"/>
          <w:b/>
          <w:bCs/>
          <w:sz w:val="21"/>
          <w:szCs w:val="21"/>
        </w:rPr>
      </w:pPr>
      <w:bookmarkStart w:id="138" w:name="_Toc989027"/>
      <w:r>
        <w:rPr>
          <w:rFonts w:ascii="宋体" w:hAnsi="宋体" w:eastAsia="宋体" w:cs="宋体"/>
          <w:b/>
          <w:bCs/>
          <w:sz w:val="21"/>
          <w:szCs w:val="21"/>
        </w:rPr>
        <w:t>19、债权投资</w:t>
      </w:r>
      <w:bookmarkEnd w:id="138"/>
    </w:p>
    <w:p>
      <w:pPr>
        <w:keepNext/>
        <w:keepLines/>
        <w:spacing w:before="300" w:after="300" w:line="280" w:lineRule="exact"/>
        <w:jc w:val="left"/>
        <w:outlineLvl w:val="2"/>
        <w:rPr>
          <w:rFonts w:ascii="宋体" w:hAnsi="宋体" w:eastAsia="宋体" w:cs="宋体"/>
          <w:b/>
          <w:bCs/>
          <w:sz w:val="21"/>
          <w:szCs w:val="21"/>
        </w:rPr>
      </w:pPr>
      <w:bookmarkStart w:id="139" w:name="_Toc989028"/>
      <w:r>
        <w:rPr>
          <w:rFonts w:ascii="宋体" w:hAnsi="宋体" w:eastAsia="宋体" w:cs="宋体"/>
          <w:b/>
          <w:bCs/>
          <w:sz w:val="21"/>
          <w:szCs w:val="21"/>
        </w:rPr>
        <w:t>20、其他债权投资</w:t>
      </w:r>
      <w:bookmarkEnd w:id="139"/>
    </w:p>
    <w:p>
      <w:pPr>
        <w:keepNext/>
        <w:keepLines/>
        <w:spacing w:before="300" w:after="300" w:line="280" w:lineRule="exact"/>
        <w:jc w:val="left"/>
        <w:outlineLvl w:val="2"/>
        <w:rPr>
          <w:rFonts w:ascii="宋体" w:hAnsi="宋体" w:eastAsia="宋体" w:cs="宋体"/>
          <w:b/>
          <w:bCs/>
          <w:sz w:val="21"/>
          <w:szCs w:val="21"/>
        </w:rPr>
      </w:pPr>
      <w:bookmarkStart w:id="140" w:name="_Toc989029"/>
      <w:r>
        <w:rPr>
          <w:rFonts w:ascii="宋体" w:hAnsi="宋体" w:eastAsia="宋体" w:cs="宋体"/>
          <w:b/>
          <w:bCs/>
          <w:sz w:val="21"/>
          <w:szCs w:val="21"/>
        </w:rPr>
        <w:t>21、长期应收款</w:t>
      </w:r>
      <w:bookmarkEnd w:id="140"/>
    </w:p>
    <w:p>
      <w:pPr>
        <w:keepNext/>
        <w:keepLines/>
        <w:spacing w:before="300" w:after="300" w:line="280" w:lineRule="exact"/>
        <w:jc w:val="left"/>
        <w:outlineLvl w:val="2"/>
        <w:rPr>
          <w:rFonts w:ascii="宋体" w:hAnsi="宋体" w:eastAsia="宋体" w:cs="宋体"/>
          <w:b/>
          <w:bCs/>
          <w:sz w:val="21"/>
          <w:szCs w:val="21"/>
        </w:rPr>
      </w:pPr>
      <w:bookmarkStart w:id="141" w:name="_Toc989030"/>
      <w:r>
        <w:rPr>
          <w:rFonts w:ascii="宋体" w:hAnsi="宋体" w:eastAsia="宋体" w:cs="宋体"/>
          <w:b/>
          <w:bCs/>
          <w:sz w:val="21"/>
          <w:szCs w:val="21"/>
        </w:rPr>
        <w:t>22、长期股权投资</w:t>
      </w:r>
      <w:bookmarkEnd w:id="141"/>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7"/>
          <w:szCs w:val="27"/>
        </w:rPr>
      </w:pPr>
      <w:r>
        <w:rPr>
          <w:rFonts w:hint="eastAsia" w:ascii="宋体" w:hAnsi="宋体" w:eastAsia="宋体" w:cs="宋体"/>
          <w:color w:val="000000"/>
          <w:sz w:val="18"/>
          <w:szCs w:val="18"/>
        </w:rPr>
        <w:t>1. 共同控制、重大影响的判断</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按照相关约定对某项安排存在共有的控制，并且该安排的相关活动必须经过分享控制权的参与方一致同意后才能决策，认定为共同控制。对被投资单位的财务和经营政策有参与决策的权力，但并不能够控制或者与其他方一起共同控制这些政策的制定，认定为重大影响。</w:t>
      </w:r>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7"/>
          <w:szCs w:val="27"/>
        </w:rPr>
      </w:pPr>
      <w:r>
        <w:rPr>
          <w:rFonts w:hint="eastAsia" w:ascii="宋体" w:hAnsi="宋体" w:eastAsia="宋体" w:cs="宋体"/>
          <w:color w:val="000000"/>
          <w:sz w:val="18"/>
          <w:szCs w:val="18"/>
        </w:rPr>
        <w:t>2. 投资成本的确定</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(1) 同一控制下的企业合并形成的，合并方以支付现金、转让非现金资产、承担债务或发行权益性证券作为合并对价的，在合并日按照取得被合并方所有者权益在最终控制方合并财务报表中的账面价值的份额作为其初始投资成本。长期股权投资初始投资成本与支付的合并对价的账面价值或发行股份的面值总额之间的差额调整资本公积；资本公积不足冲减的，调整留存收益。</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公司通过多次交易分步实现同一控制下企业合并形成的长期股权投资，判断是否属于“一揽子交易”。属于“一揽子交易”的，把各项交易作为一项取得控制权的交易进行会计处理。不属于“一揽子交易”的，在合并日，根据合并后应享有被合并方净资产在最终控制方合并财务报表中的账面价值的份额确定初始投资成本。合并日长期股权投资的初始投资成本，与达到合并前的长期股权投资账面价值加上合并日进一步取得股份新支付对价的账面价值之和的差额，调整资本公积；资本公积不足冲减的，调整留存收益。</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(2) 非同一控制下的企业合并形成的，在购买日按照支付的合并对价的公允价值作为其初始投资成本。</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公司通过多次交易分步实现非同一控制下企业合并形成的长期股权投资，区分个别财务报表和合并财务报表进行相关会计处理：</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1) 在个别财务报表中，按照原持有的股权投资的账面价值加上新增投资成本之和，作为改按成本法核算的初始投资成本。</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2) 在合并财务报表中，判断是否属于“一揽子交易”。属于“一揽子交易”的，把各项交易作为一项取得控制权的交易进行会计处理。不属于“一揽子交易”的，对于购买日之前持有的被购买方的股权，按照该股权在购买日的公允价值进行重新计量，公允价值与其账面价值的差额计入当期投资收益；购买日之前持有的被购买方的股权涉及权益法核算下的其他综合收益等的，与其相关的其他综合收益等转为购买日所属当期收益。但由于被投资方重新计量设定受益计划净负债或净资产变动而产生的其他综合收益除外。</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(3) 除企业合并形成以外的：以支付现金取得的，按照实际支付的购买价款作为其初始投资成本；以发行权益性证券取得的，按照发行权益性证券的公允价值作为其初始投资成本；以债务重组方式取得的，按《企业会计准则第12号——债务重组》确定其初始投资成本；以非货币性资产交换取得的，按《企业会计准则第7号——非货币性资产交换》确定其初始投资成本。</w:t>
      </w:r>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7"/>
          <w:szCs w:val="27"/>
        </w:rPr>
      </w:pPr>
      <w:r>
        <w:rPr>
          <w:rFonts w:hint="eastAsia" w:ascii="宋体" w:hAnsi="宋体" w:eastAsia="宋体" w:cs="宋体"/>
          <w:color w:val="000000"/>
          <w:sz w:val="18"/>
          <w:szCs w:val="18"/>
        </w:rPr>
        <w:t>3. 后续计量及损益确认方法</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对被投资单位实施控制的长期股权投资采用成本法核算；对联营企业和合营企业的长期股权投资，采用权益法核算。</w:t>
      </w:r>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7"/>
          <w:szCs w:val="27"/>
        </w:rPr>
      </w:pPr>
      <w:r>
        <w:rPr>
          <w:rFonts w:hint="eastAsia" w:ascii="宋体" w:hAnsi="宋体" w:eastAsia="宋体" w:cs="宋体"/>
          <w:color w:val="000000"/>
          <w:sz w:val="18"/>
          <w:szCs w:val="18"/>
        </w:rPr>
        <w:t>4. 通过多次交易分步处置对子公司投资至丧失控制权的处理方法</w:t>
      </w:r>
    </w:p>
    <w:p>
      <w:pPr>
        <w:pStyle w:val="3"/>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4"/>
          <w:szCs w:val="24"/>
        </w:rPr>
      </w:pPr>
      <w:r>
        <w:rPr>
          <w:rFonts w:hint="eastAsia" w:ascii="宋体" w:hAnsi="宋体" w:eastAsia="宋体" w:cs="宋体"/>
          <w:color w:val="000000"/>
          <w:sz w:val="18"/>
          <w:szCs w:val="18"/>
        </w:rPr>
        <w:t>(1) 个别财务报表</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对处置的股权，其账面价值与实际取得价款之间的差额，计入当期损益。对于剩余股权，对被投资单位仍具有重大影响或者与其他方一起实施共同控制的，转为权益法核算；不能再对被投资单位实施控制、共同控制或重大影响的，按照《企业会计准则第22号——金融工具确认和计量》的相关规定进行核算。</w:t>
      </w:r>
    </w:p>
    <w:p>
      <w:pPr>
        <w:pStyle w:val="3"/>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4"/>
          <w:szCs w:val="24"/>
        </w:rPr>
      </w:pPr>
      <w:r>
        <w:rPr>
          <w:rFonts w:hint="eastAsia" w:ascii="宋体" w:hAnsi="宋体" w:eastAsia="宋体" w:cs="宋体"/>
          <w:color w:val="000000"/>
          <w:sz w:val="18"/>
          <w:szCs w:val="18"/>
        </w:rPr>
        <w:t>(2) 合并财务报表</w:t>
      </w:r>
    </w:p>
    <w:p>
      <w:pPr>
        <w:pStyle w:val="4"/>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0"/>
          <w:szCs w:val="20"/>
        </w:rPr>
      </w:pPr>
      <w:r>
        <w:rPr>
          <w:rFonts w:hint="eastAsia" w:ascii="宋体" w:hAnsi="宋体" w:eastAsia="宋体" w:cs="宋体"/>
          <w:color w:val="000000"/>
          <w:sz w:val="18"/>
          <w:szCs w:val="18"/>
        </w:rPr>
        <w:t>1) 通过多次交易分步处置对子公司投资至丧失控制权，且不属于“一揽子交易”的</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在丧失控制权之前，处置价款与处置长期股权投资相对应享有子公司自购买日或合并日开始持续计算的净资产份额之间的差额，调整资本公积（资本溢价），资本溢价不足冲减的，冲减留存收益。</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丧失对原子公司控制权时，对于剩余股权，按照其在丧失控制权日的公允价值进行重新计量。处置股权取得的对价与剩余股权公允价值之和，减去按原持股比例计算应享有原有子公司自购买日或合并日开始持续计算的净资产的份额之间的差额，计入丧失控制权当期的投资收益，同时冲减商誉。与原有子公司股权投资相关的其他综合收益等，应当在丧失控制权时转为当期投资收益。</w:t>
      </w:r>
    </w:p>
    <w:p>
      <w:pPr>
        <w:pStyle w:val="4"/>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0"/>
          <w:szCs w:val="20"/>
        </w:rPr>
      </w:pPr>
      <w:r>
        <w:rPr>
          <w:rFonts w:hint="eastAsia" w:ascii="宋体" w:hAnsi="宋体" w:eastAsia="宋体" w:cs="宋体"/>
          <w:color w:val="000000"/>
          <w:sz w:val="18"/>
          <w:szCs w:val="18"/>
        </w:rPr>
        <w:t>2) 通过多次交易分步处置对子公司投资至丧失控制权，且属于“一揽子交易”的</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将各项交易作为一项处置子公司并丧失控制权的交易进行会计处理。但是，在丧失控制权之前每一次处置价款与处置投资对应的享有该子公司净资产份额的差额，在合并财务报表中确认为其他综合收益，在丧失控制权时一并转入丧失控制权当期的损益。</w:t>
      </w:r>
    </w:p>
    <w:p>
      <w:pPr>
        <w:keepNext/>
        <w:keepLines/>
        <w:spacing w:before="300" w:after="300" w:line="280" w:lineRule="exact"/>
        <w:jc w:val="left"/>
        <w:outlineLvl w:val="2"/>
        <w:rPr>
          <w:rFonts w:ascii="宋体" w:hAnsi="宋体" w:eastAsia="宋体" w:cs="宋体"/>
          <w:b/>
          <w:bCs/>
          <w:sz w:val="21"/>
          <w:szCs w:val="21"/>
        </w:rPr>
      </w:pPr>
      <w:bookmarkStart w:id="142" w:name="_Toc989031"/>
      <w:r>
        <w:rPr>
          <w:rFonts w:ascii="宋体" w:hAnsi="宋体" w:eastAsia="宋体" w:cs="宋体"/>
          <w:b/>
          <w:bCs/>
          <w:sz w:val="21"/>
          <w:szCs w:val="21"/>
        </w:rPr>
        <w:t>23、投资性房地产</w:t>
      </w:r>
      <w:bookmarkEnd w:id="142"/>
    </w:p>
    <w:p>
      <w:pPr>
        <w:spacing w:before="40" w:after="40" w:line="240" w:lineRule="exact"/>
        <w:jc w:val="left"/>
        <w:rPr>
          <w:rFonts w:ascii="宋体" w:hAnsi="宋体" w:eastAsia="宋体" w:cs="宋体"/>
          <w:sz w:val="18"/>
          <w:szCs w:val="18"/>
        </w:rPr>
      </w:pPr>
      <w:r>
        <w:rPr>
          <w:rFonts w:ascii="宋体" w:hAnsi="宋体" w:eastAsia="宋体" w:cs="宋体"/>
          <w:sz w:val="18"/>
          <w:szCs w:val="18"/>
        </w:rPr>
        <w:t>投资性房地产计量模式</w:t>
      </w:r>
    </w:p>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143" w:name="_Toc989032"/>
      <w:r>
        <w:rPr>
          <w:rFonts w:ascii="宋体" w:hAnsi="宋体" w:eastAsia="宋体" w:cs="宋体"/>
          <w:b/>
          <w:bCs/>
          <w:sz w:val="21"/>
          <w:szCs w:val="21"/>
        </w:rPr>
        <w:t>24、固定资产</w:t>
      </w:r>
      <w:bookmarkEnd w:id="143"/>
    </w:p>
    <w:p>
      <w:pPr>
        <w:keepNext/>
        <w:keepLines/>
        <w:spacing w:before="300" w:after="300" w:line="280" w:lineRule="exact"/>
        <w:jc w:val="left"/>
        <w:outlineLvl w:val="3"/>
        <w:rPr>
          <w:rFonts w:ascii="宋体" w:hAnsi="宋体" w:eastAsia="宋体" w:cs="宋体"/>
          <w:b/>
          <w:bCs/>
          <w:sz w:val="21"/>
          <w:szCs w:val="21"/>
        </w:rPr>
      </w:pPr>
      <w:bookmarkStart w:id="144" w:name="_Toc989033"/>
      <w:r>
        <w:rPr>
          <w:rFonts w:ascii="宋体" w:hAnsi="宋体" w:eastAsia="宋体" w:cs="宋体"/>
          <w:b/>
          <w:bCs/>
          <w:sz w:val="21"/>
          <w:szCs w:val="21"/>
        </w:rPr>
        <w:t>（1） 确认条件</w:t>
      </w:r>
      <w:bookmarkEnd w:id="144"/>
    </w:p>
    <w:p>
      <w:pPr>
        <w:pStyle w:val="5"/>
        <w:keepNext w:val="0"/>
        <w:keepLines w:val="0"/>
        <w:widowControl/>
        <w:suppressLineNumbers w:val="0"/>
        <w:spacing w:line="240" w:lineRule="atLeast"/>
        <w:rPr>
          <w:rFonts w:hint="eastAsia" w:ascii="宋体" w:hAnsi="宋体" w:eastAsia="宋体" w:cs="宋体"/>
          <w:sz w:val="18"/>
          <w:szCs w:val="18"/>
        </w:rPr>
      </w:pPr>
      <w:r>
        <w:rPr>
          <w:rFonts w:hint="eastAsia" w:ascii="宋体" w:hAnsi="宋体" w:eastAsia="宋体" w:cs="宋体"/>
          <w:sz w:val="18"/>
          <w:szCs w:val="18"/>
        </w:rPr>
        <w:t>固定资产是指为生产商品、提供劳务、出租或经营管理而持有的，使用年限超过一个会计年度的有形资产。固定资产在同时满足经济利益很可能流入、成本能够可靠计量时予以确认。</w:t>
      </w:r>
    </w:p>
    <w:p>
      <w:pPr>
        <w:keepNext/>
        <w:keepLines/>
        <w:spacing w:before="300" w:after="300" w:line="280" w:lineRule="exact"/>
        <w:jc w:val="left"/>
        <w:outlineLvl w:val="3"/>
        <w:rPr>
          <w:rFonts w:ascii="宋体" w:hAnsi="宋体" w:eastAsia="宋体" w:cs="宋体"/>
          <w:b/>
          <w:bCs/>
          <w:sz w:val="21"/>
          <w:szCs w:val="21"/>
        </w:rPr>
      </w:pPr>
      <w:bookmarkStart w:id="145" w:name="_Toc989034"/>
      <w:r>
        <w:rPr>
          <w:rFonts w:ascii="宋体" w:hAnsi="宋体" w:eastAsia="宋体" w:cs="宋体"/>
          <w:b/>
          <w:bCs/>
          <w:sz w:val="21"/>
          <w:szCs w:val="21"/>
        </w:rPr>
        <w:t>（2） 折旧方法</w:t>
      </w:r>
      <w:bookmarkEnd w:id="145"/>
    </w:p>
    <w:p>
      <w:pPr>
        <w:spacing w:before="0" w:after="0" w:line="0" w:lineRule="exact"/>
        <w:jc w:val="left"/>
      </w:pP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折旧方法</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折旧年限</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残值率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年折旧率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房屋及建筑物</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年限平均法</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12-50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3-10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8.08-1.80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机器设备</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年限平均法</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5-20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0-10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20.00-4.50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运输工具</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年限平均法</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5-12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18.00-7.50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年限平均法</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5-12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20.00-7.92</w:t>
            </w:r>
          </w:p>
        </w:tc>
      </w:tr>
    </w:tbl>
    <w:p>
      <w:pPr>
        <w:keepNext/>
        <w:keepLines/>
        <w:spacing w:before="300" w:after="300" w:line="280" w:lineRule="exact"/>
        <w:jc w:val="left"/>
        <w:outlineLvl w:val="2"/>
        <w:rPr>
          <w:rFonts w:ascii="宋体" w:hAnsi="宋体" w:eastAsia="宋体" w:cs="宋体"/>
          <w:b/>
          <w:bCs/>
          <w:sz w:val="21"/>
          <w:szCs w:val="21"/>
        </w:rPr>
      </w:pPr>
      <w:bookmarkStart w:id="146" w:name="_Toc989035"/>
      <w:r>
        <w:rPr>
          <w:rFonts w:ascii="宋体" w:hAnsi="宋体" w:eastAsia="宋体" w:cs="宋体"/>
          <w:b/>
          <w:bCs/>
          <w:sz w:val="21"/>
          <w:szCs w:val="21"/>
        </w:rPr>
        <w:t>25、在建工程</w:t>
      </w:r>
      <w:bookmarkEnd w:id="146"/>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1. 在建工程同时满足经济利益很可能流入、成本能够可靠计量则予以确认。在建工程按建造该项资产达到预定可使用状态前所发生的实际成本计量。</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2. 在建工程达到预定可使用状态时，按工程实际成本转入固定资产。已达到预定可使用状态但尚未办理竣工决算的，先按估计价值转入固定资产，待办理竣工决算后再按实际成本调整原暂估价值，但不再调整原已计提的折旧。</w:t>
      </w:r>
    </w:p>
    <w:p>
      <w:pPr>
        <w:keepNext/>
        <w:keepLines/>
        <w:spacing w:before="300" w:after="300" w:line="280" w:lineRule="exact"/>
        <w:jc w:val="left"/>
        <w:outlineLvl w:val="2"/>
        <w:rPr>
          <w:rFonts w:ascii="宋体" w:hAnsi="宋体" w:eastAsia="宋体" w:cs="宋体"/>
          <w:b/>
          <w:bCs/>
          <w:sz w:val="21"/>
          <w:szCs w:val="21"/>
        </w:rPr>
      </w:pPr>
      <w:bookmarkStart w:id="147" w:name="_Toc989036"/>
      <w:r>
        <w:rPr>
          <w:rFonts w:ascii="宋体" w:hAnsi="宋体" w:eastAsia="宋体" w:cs="宋体"/>
          <w:b/>
          <w:bCs/>
          <w:sz w:val="21"/>
          <w:szCs w:val="21"/>
        </w:rPr>
        <w:t>26、借款费用</w:t>
      </w:r>
      <w:bookmarkEnd w:id="147"/>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7"/>
          <w:szCs w:val="27"/>
        </w:rPr>
      </w:pPr>
      <w:r>
        <w:rPr>
          <w:rFonts w:hint="eastAsia" w:ascii="宋体" w:hAnsi="宋体" w:eastAsia="宋体" w:cs="宋体"/>
          <w:color w:val="000000"/>
          <w:sz w:val="18"/>
          <w:szCs w:val="18"/>
        </w:rPr>
        <w:t>1. 借款费用资本化的确认原则</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公司发生的借款费用，可直接归属于符合资本化条件的资产的购建或者生产的，予以资本化，计入相关资产成本；其他借款费用，在发生时确认为费用，计入当期损益。</w:t>
      </w:r>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7"/>
          <w:szCs w:val="27"/>
        </w:rPr>
      </w:pPr>
      <w:r>
        <w:rPr>
          <w:rFonts w:hint="eastAsia" w:ascii="宋体" w:hAnsi="宋体" w:eastAsia="宋体" w:cs="宋体"/>
          <w:color w:val="000000"/>
          <w:sz w:val="18"/>
          <w:szCs w:val="18"/>
        </w:rPr>
        <w:t>2. 借款费用资本化期间</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(1) 当借款费用同时满足下列条件时，开始资本化：1) 资产支出已经发生；2) 借款费用已经发生；3) 为使资产达到预定可使用或可销售状态所必要的购建或者生产活动已经开始。</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(2) 若符合资本化条件的资产在购建或者生产过程中发生非正常中断，并且中断时间连续超过3个月，暂停借款费用的资本化；中断期间发生的借款费用确认为当期费用，直至资产的购建或者生产活动重新开始。</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(3) 当所购建或者生产符合资本化条件的资产达到预定可使用或可销售状态时，借款费用停止资本化。</w:t>
      </w:r>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7"/>
          <w:szCs w:val="27"/>
        </w:rPr>
      </w:pPr>
      <w:r>
        <w:rPr>
          <w:rFonts w:hint="eastAsia" w:ascii="宋体" w:hAnsi="宋体" w:eastAsia="宋体" w:cs="宋体"/>
          <w:color w:val="000000"/>
          <w:sz w:val="18"/>
          <w:szCs w:val="18"/>
        </w:rPr>
        <w:t>3. 借款费用资本化率以及资本化金额</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为购建或者生产符合资本化条件的资产而借入专门借款的，以专门借款当期实际发生的利息费用（包括按照实际利率法确定的折价或溢价的摊销），减去将尚未动用的借款资金存入银行取得的利息收入或进行暂时性投资取得的投资收益后的金额，确定应予资本化的利息金额；为购建或者生产符合资本化条件的资产占用了一般借款的，根据累计资产支出超过专门借款的资产支出加权平均数乘以占用一般借款的资本化率，计算确定一般借款应予资本化的利息金额。</w:t>
      </w:r>
    </w:p>
    <w:p>
      <w:pPr>
        <w:keepNext/>
        <w:keepLines/>
        <w:spacing w:before="300" w:after="300" w:line="280" w:lineRule="exact"/>
        <w:jc w:val="left"/>
        <w:outlineLvl w:val="2"/>
        <w:rPr>
          <w:rFonts w:ascii="宋体" w:hAnsi="宋体" w:eastAsia="宋体" w:cs="宋体"/>
          <w:b/>
          <w:bCs/>
          <w:sz w:val="21"/>
          <w:szCs w:val="21"/>
        </w:rPr>
      </w:pPr>
      <w:bookmarkStart w:id="148" w:name="_Toc989037"/>
      <w:r>
        <w:rPr>
          <w:rFonts w:ascii="宋体" w:hAnsi="宋体" w:eastAsia="宋体" w:cs="宋体"/>
          <w:b/>
          <w:bCs/>
          <w:sz w:val="21"/>
          <w:szCs w:val="21"/>
        </w:rPr>
        <w:t>27、生物资产</w:t>
      </w:r>
      <w:bookmarkEnd w:id="148"/>
    </w:p>
    <w:p>
      <w:pPr>
        <w:keepNext/>
        <w:keepLines/>
        <w:spacing w:before="300" w:after="300" w:line="280" w:lineRule="exact"/>
        <w:jc w:val="left"/>
        <w:outlineLvl w:val="2"/>
        <w:rPr>
          <w:rFonts w:ascii="宋体" w:hAnsi="宋体" w:eastAsia="宋体" w:cs="宋体"/>
          <w:b/>
          <w:bCs/>
          <w:sz w:val="21"/>
          <w:szCs w:val="21"/>
        </w:rPr>
      </w:pPr>
      <w:bookmarkStart w:id="149" w:name="_Toc989038"/>
      <w:r>
        <w:rPr>
          <w:rFonts w:ascii="宋体" w:hAnsi="宋体" w:eastAsia="宋体" w:cs="宋体"/>
          <w:b/>
          <w:bCs/>
          <w:sz w:val="21"/>
          <w:szCs w:val="21"/>
        </w:rPr>
        <w:t>28、油气资产</w:t>
      </w:r>
      <w:bookmarkEnd w:id="149"/>
    </w:p>
    <w:p>
      <w:pPr>
        <w:keepNext/>
        <w:keepLines/>
        <w:spacing w:before="300" w:after="300" w:line="280" w:lineRule="exact"/>
        <w:jc w:val="left"/>
        <w:outlineLvl w:val="2"/>
        <w:rPr>
          <w:rFonts w:ascii="宋体" w:hAnsi="宋体" w:eastAsia="宋体" w:cs="宋体"/>
          <w:b/>
          <w:bCs/>
          <w:sz w:val="21"/>
          <w:szCs w:val="21"/>
        </w:rPr>
      </w:pPr>
      <w:bookmarkStart w:id="150" w:name="_Toc989039"/>
      <w:r>
        <w:rPr>
          <w:rFonts w:ascii="宋体" w:hAnsi="宋体" w:eastAsia="宋体" w:cs="宋体"/>
          <w:b/>
          <w:bCs/>
          <w:sz w:val="21"/>
          <w:szCs w:val="21"/>
        </w:rPr>
        <w:t>29、无形资产</w:t>
      </w:r>
      <w:bookmarkEnd w:id="150"/>
    </w:p>
    <w:p>
      <w:pPr>
        <w:keepNext/>
        <w:keepLines/>
        <w:spacing w:before="300" w:after="300" w:line="280" w:lineRule="exact"/>
        <w:jc w:val="left"/>
        <w:outlineLvl w:val="3"/>
        <w:rPr>
          <w:rFonts w:ascii="宋体" w:hAnsi="宋体" w:eastAsia="宋体" w:cs="宋体"/>
          <w:b/>
          <w:bCs/>
          <w:sz w:val="21"/>
          <w:szCs w:val="21"/>
        </w:rPr>
      </w:pPr>
      <w:bookmarkStart w:id="151" w:name="_Toc989040"/>
      <w:r>
        <w:rPr>
          <w:rFonts w:ascii="宋体" w:hAnsi="宋体" w:eastAsia="宋体" w:cs="宋体"/>
          <w:b/>
          <w:bCs/>
          <w:sz w:val="21"/>
          <w:szCs w:val="21"/>
        </w:rPr>
        <w:t>（1） 使用寿命及其确定依据、估计情况、摊销方法或复核程序</w:t>
      </w:r>
      <w:bookmarkEnd w:id="151"/>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1. 无形资产包括土地使用权、专利权及非专利技术等，按成本进行初始计量。</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2. 使用寿命有限的无形资产，在使用寿命内按照与该项无形资产有关的经济利益的预期实现方式系统合理地摊销，无法可靠确定预期实现方式的，采用直线法摊销。具体年限如下：</w:t>
      </w:r>
    </w:p>
    <w:tbl>
      <w:tblPr>
        <w:tblStyle w:val="6"/>
        <w:tblW w:w="985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206"/>
        <w:gridCol w:w="464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520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100" w:beforeAutospacing="0" w:after="0" w:afterAutospacing="0" w:line="300" w:lineRule="auto"/>
              <w:ind w:left="0" w:right="0" w:firstLine="210"/>
              <w:jc w:val="left"/>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项  目</w:t>
            </w:r>
          </w:p>
        </w:tc>
        <w:tc>
          <w:tcPr>
            <w:tcW w:w="464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100" w:beforeAutospacing="0" w:after="0" w:afterAutospacing="0" w:line="300" w:lineRule="auto"/>
              <w:ind w:left="0" w:right="0"/>
              <w:jc w:val="center"/>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摊销年限（年）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5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sz w:val="18"/>
                <w:szCs w:val="18"/>
              </w:rPr>
              <w:t>土地使用权</w:t>
            </w:r>
          </w:p>
        </w:tc>
        <w:tc>
          <w:tcPr>
            <w:tcW w:w="46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宋体" w:hAnsi="宋体" w:eastAsia="宋体" w:cs="宋体"/>
                <w:sz w:val="18"/>
                <w:szCs w:val="18"/>
              </w:rPr>
              <w:t>25-50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5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sz w:val="18"/>
                <w:szCs w:val="18"/>
              </w:rPr>
              <w:t>专利权</w:t>
            </w:r>
          </w:p>
        </w:tc>
        <w:tc>
          <w:tcPr>
            <w:tcW w:w="46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宋体" w:hAnsi="宋体" w:eastAsia="宋体" w:cs="宋体"/>
                <w:sz w:val="18"/>
                <w:szCs w:val="18"/>
              </w:rPr>
              <w:t>12-20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5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sz w:val="18"/>
                <w:szCs w:val="18"/>
              </w:rPr>
              <w:t>特许权</w:t>
            </w:r>
          </w:p>
        </w:tc>
        <w:tc>
          <w:tcPr>
            <w:tcW w:w="46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宋体" w:hAnsi="宋体" w:eastAsia="宋体" w:cs="宋体"/>
                <w:sz w:val="18"/>
                <w:szCs w:val="18"/>
              </w:rPr>
              <w:t>10-20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5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sz w:val="18"/>
                <w:szCs w:val="18"/>
              </w:rPr>
              <w:t>其他</w:t>
            </w:r>
          </w:p>
        </w:tc>
        <w:tc>
          <w:tcPr>
            <w:tcW w:w="46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宋体" w:hAnsi="宋体" w:eastAsia="宋体" w:cs="宋体"/>
                <w:sz w:val="18"/>
                <w:szCs w:val="18"/>
              </w:rPr>
              <w:t>5-10</w:t>
            </w:r>
          </w:p>
        </w:tc>
      </w:tr>
    </w:tbl>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使用寿命不确定的无形资产不摊销，公司在每个会计期间均对该无形资产的使用寿命进行复核。</w:t>
      </w:r>
    </w:p>
    <w:p>
      <w:pPr>
        <w:keepNext/>
        <w:keepLines/>
        <w:spacing w:before="300" w:after="300" w:line="280" w:lineRule="exact"/>
        <w:jc w:val="left"/>
        <w:outlineLvl w:val="3"/>
        <w:rPr>
          <w:rFonts w:ascii="宋体" w:hAnsi="宋体" w:eastAsia="宋体" w:cs="宋体"/>
          <w:b/>
          <w:bCs/>
          <w:sz w:val="21"/>
          <w:szCs w:val="21"/>
        </w:rPr>
      </w:pPr>
      <w:bookmarkStart w:id="152" w:name="_Toc989041"/>
      <w:r>
        <w:rPr>
          <w:rFonts w:ascii="宋体" w:hAnsi="宋体" w:eastAsia="宋体" w:cs="宋体"/>
          <w:b/>
          <w:bCs/>
          <w:sz w:val="21"/>
          <w:szCs w:val="21"/>
        </w:rPr>
        <w:t>（2） 研发支出的归集范围及相关会计处理方法</w:t>
      </w:r>
      <w:bookmarkEnd w:id="152"/>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内部研究开发项目研究阶段的支出，于发生时计入当期损益。内部研究开发项目开发阶段的支出，同时满足下列条件的，确认为无形资产：(1) 完成该无形资产以使其能够使用或出售在技术上具有可行性；(2) 具有完成该无形资产并使用或出售的意图；(3) 无形资产产生经济利益的方式，包括能够证明运用该无形资产生产的产品存在市场或无形资产自身存在市场，无形资产将在内部使用的，能证明其有用性；(4) 有足够的技术、财务资源和其他资源支持，以完成该无形资产的开发，并有能力使用或出售该无形资产；(5) 归属于该无形资产开发阶段的支出能够可靠地计量。</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公司划分内部研究开发项目研究阶段支出和开发阶段支出的具体标准：</w:t>
      </w:r>
    </w:p>
    <w:p>
      <w:pPr>
        <w:pStyle w:val="5"/>
        <w:keepNext w:val="0"/>
        <w:keepLines w:val="0"/>
        <w:widowControl/>
        <w:suppressLineNumbers w:val="0"/>
        <w:spacing w:before="0" w:beforeAutospacing="0" w:after="0" w:afterAutospacing="0" w:line="440" w:lineRule="atLeast"/>
        <w:ind w:left="0" w:right="0" w:firstLine="420"/>
        <w:jc w:val="left"/>
        <w:rPr>
          <w:rFonts w:hint="default" w:ascii="Times New Roman" w:hAnsi="Times New Roman" w:cs="Times New Roman"/>
          <w:sz w:val="24"/>
          <w:szCs w:val="24"/>
        </w:rPr>
      </w:pPr>
      <w:r>
        <w:rPr>
          <w:rFonts w:hint="eastAsia" w:ascii="宋体" w:hAnsi="宋体" w:eastAsia="宋体" w:cs="宋体"/>
          <w:sz w:val="18"/>
          <w:szCs w:val="18"/>
        </w:rPr>
        <w:t>开发阶段的支出同时满足下列条件的，确认为无形资产，不能满足下述条件的开发阶段的支出计入当期损益：</w:t>
      </w:r>
    </w:p>
    <w:p>
      <w:pPr>
        <w:pStyle w:val="5"/>
        <w:keepNext w:val="0"/>
        <w:keepLines w:val="0"/>
        <w:widowControl/>
        <w:suppressLineNumbers w:val="0"/>
        <w:spacing w:before="0" w:beforeAutospacing="0" w:after="0" w:afterAutospacing="0" w:line="440" w:lineRule="atLeast"/>
        <w:ind w:left="0" w:right="0" w:firstLine="420"/>
        <w:jc w:val="left"/>
        <w:rPr>
          <w:rFonts w:hint="default" w:ascii="Times New Roman" w:hAnsi="Times New Roman" w:cs="Times New Roman"/>
          <w:sz w:val="24"/>
          <w:szCs w:val="24"/>
        </w:rPr>
      </w:pPr>
      <w:r>
        <w:rPr>
          <w:rFonts w:hint="eastAsia" w:ascii="宋体" w:hAnsi="宋体" w:eastAsia="宋体" w:cs="宋体"/>
          <w:sz w:val="18"/>
          <w:szCs w:val="18"/>
        </w:rPr>
        <w:t>①完成该无形资产以使其能够使用或出售在技术上具有可行性；</w:t>
      </w:r>
    </w:p>
    <w:p>
      <w:pPr>
        <w:pStyle w:val="5"/>
        <w:keepNext w:val="0"/>
        <w:keepLines w:val="0"/>
        <w:widowControl/>
        <w:suppressLineNumbers w:val="0"/>
        <w:spacing w:before="0" w:beforeAutospacing="0" w:after="0" w:afterAutospacing="0" w:line="440" w:lineRule="atLeast"/>
        <w:ind w:left="0" w:right="0" w:firstLine="420"/>
        <w:jc w:val="left"/>
        <w:rPr>
          <w:rFonts w:hint="default" w:ascii="Times New Roman" w:hAnsi="Times New Roman" w:cs="Times New Roman"/>
          <w:sz w:val="24"/>
          <w:szCs w:val="24"/>
        </w:rPr>
      </w:pPr>
      <w:r>
        <w:rPr>
          <w:rFonts w:hint="eastAsia" w:ascii="宋体" w:hAnsi="宋体" w:eastAsia="宋体" w:cs="宋体"/>
          <w:sz w:val="18"/>
          <w:szCs w:val="18"/>
        </w:rPr>
        <w:t>②具有完成该无形资产并使用或出售的意图；</w:t>
      </w:r>
    </w:p>
    <w:p>
      <w:pPr>
        <w:pStyle w:val="5"/>
        <w:keepNext w:val="0"/>
        <w:keepLines w:val="0"/>
        <w:widowControl/>
        <w:suppressLineNumbers w:val="0"/>
        <w:spacing w:before="0" w:beforeAutospacing="0" w:after="0" w:afterAutospacing="0" w:line="440" w:lineRule="atLeast"/>
        <w:ind w:left="0" w:right="0" w:firstLine="420"/>
        <w:jc w:val="left"/>
        <w:rPr>
          <w:rFonts w:hint="default" w:ascii="Times New Roman" w:hAnsi="Times New Roman" w:cs="Times New Roman"/>
          <w:sz w:val="24"/>
          <w:szCs w:val="24"/>
        </w:rPr>
      </w:pPr>
      <w:r>
        <w:rPr>
          <w:rFonts w:hint="eastAsia" w:ascii="宋体" w:hAnsi="宋体" w:eastAsia="宋体" w:cs="宋体"/>
          <w:sz w:val="18"/>
          <w:szCs w:val="18"/>
        </w:rPr>
        <w:t>③无形资产产生经济利益的方式，包括能够证明运用该无形资产生产的产品存在市场或无形资产自身存在市场，无形资产将在内部使用的，能够证明其有用性；</w:t>
      </w:r>
    </w:p>
    <w:p>
      <w:pPr>
        <w:pStyle w:val="5"/>
        <w:keepNext w:val="0"/>
        <w:keepLines w:val="0"/>
        <w:widowControl/>
        <w:suppressLineNumbers w:val="0"/>
        <w:spacing w:before="0" w:beforeAutospacing="0" w:after="0" w:afterAutospacing="0" w:line="440" w:lineRule="atLeast"/>
        <w:ind w:left="0" w:right="0" w:firstLine="420"/>
        <w:jc w:val="left"/>
        <w:rPr>
          <w:rFonts w:hint="default" w:ascii="Times New Roman" w:hAnsi="Times New Roman" w:cs="Times New Roman"/>
          <w:sz w:val="24"/>
          <w:szCs w:val="24"/>
        </w:rPr>
      </w:pPr>
      <w:r>
        <w:rPr>
          <w:rFonts w:hint="eastAsia" w:ascii="宋体" w:hAnsi="宋体" w:eastAsia="宋体" w:cs="宋体"/>
          <w:sz w:val="18"/>
          <w:szCs w:val="18"/>
        </w:rPr>
        <w:t>④有足够的技术、财务资源和其他资源支持，以完成该无形资产的开发，并有能力使用或出售该无形资产；</w:t>
      </w:r>
    </w:p>
    <w:p>
      <w:pPr>
        <w:pStyle w:val="5"/>
        <w:keepNext w:val="0"/>
        <w:keepLines w:val="0"/>
        <w:widowControl/>
        <w:suppressLineNumbers w:val="0"/>
        <w:spacing w:before="0" w:beforeAutospacing="0" w:after="0" w:afterAutospacing="0" w:line="440" w:lineRule="atLeast"/>
        <w:ind w:left="0" w:right="0" w:firstLine="420"/>
        <w:jc w:val="left"/>
        <w:rPr>
          <w:rFonts w:hint="default" w:ascii="Times New Roman" w:hAnsi="Times New Roman" w:cs="Times New Roman"/>
          <w:sz w:val="24"/>
          <w:szCs w:val="24"/>
        </w:rPr>
      </w:pPr>
      <w:r>
        <w:rPr>
          <w:rFonts w:hint="eastAsia" w:ascii="宋体" w:hAnsi="宋体" w:eastAsia="宋体" w:cs="宋体"/>
          <w:sz w:val="18"/>
          <w:szCs w:val="18"/>
        </w:rPr>
        <w:t>⑤归属于该无形资产开发阶段的支出能够可靠地计量。</w:t>
      </w:r>
    </w:p>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sz w:val="18"/>
          <w:szCs w:val="18"/>
        </w:rPr>
        <w:t>无法区分研究阶段支出和开发阶段支出的，将发生的研发支出全部计入当期损益。</w:t>
      </w:r>
    </w:p>
    <w:p>
      <w:pPr>
        <w:keepNext/>
        <w:keepLines/>
        <w:spacing w:before="300" w:after="300" w:line="280" w:lineRule="exact"/>
        <w:jc w:val="left"/>
        <w:outlineLvl w:val="2"/>
        <w:rPr>
          <w:rFonts w:ascii="宋体" w:hAnsi="宋体" w:eastAsia="宋体" w:cs="宋体"/>
          <w:b/>
          <w:bCs/>
          <w:sz w:val="21"/>
          <w:szCs w:val="21"/>
        </w:rPr>
      </w:pPr>
      <w:bookmarkStart w:id="153" w:name="_Toc989042"/>
      <w:r>
        <w:rPr>
          <w:rFonts w:ascii="宋体" w:hAnsi="宋体" w:eastAsia="宋体" w:cs="宋体"/>
          <w:b/>
          <w:bCs/>
          <w:sz w:val="21"/>
          <w:szCs w:val="21"/>
        </w:rPr>
        <w:t>30、长期资产减值</w:t>
      </w:r>
      <w:bookmarkEnd w:id="153"/>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对长期股权投资、固定资产、在建工程、使用权资产、使用寿命有限的无形资产等长期资产，在资产负债表日有迹象表明发生减值的，估计其可收回金额。对因企业合并所形成的商誉和使用寿命不确定的无形资产，无论是否存在减值迹象，每年都进行减值测试。商誉结合与其相关的资产组或者资产组组合进行减值测试。</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若上述长期资产的可收回金额低于其账面价值的，按其差额确认资产减值准备并计入当期损益。</w:t>
      </w:r>
    </w:p>
    <w:p>
      <w:pPr>
        <w:keepNext/>
        <w:keepLines/>
        <w:spacing w:before="300" w:after="300" w:line="280" w:lineRule="exact"/>
        <w:jc w:val="left"/>
        <w:outlineLvl w:val="2"/>
        <w:rPr>
          <w:rFonts w:ascii="宋体" w:hAnsi="宋体" w:eastAsia="宋体" w:cs="宋体"/>
          <w:b/>
          <w:bCs/>
          <w:sz w:val="21"/>
          <w:szCs w:val="21"/>
        </w:rPr>
      </w:pPr>
      <w:bookmarkStart w:id="154" w:name="_Toc989043"/>
      <w:r>
        <w:rPr>
          <w:rFonts w:ascii="宋体" w:hAnsi="宋体" w:eastAsia="宋体" w:cs="宋体"/>
          <w:b/>
          <w:bCs/>
          <w:sz w:val="21"/>
          <w:szCs w:val="21"/>
        </w:rPr>
        <w:t>31、长期待摊费用</w:t>
      </w:r>
      <w:bookmarkEnd w:id="154"/>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长期待摊费用核算已经支出，摊销期限在1年以上（不含1年）的各项费用。长期待摊费用按实际发生额入账，在受益期或规定的期限内分期平均摊销。如果长期待摊的费用项目不能使以后会计期间受益则将尚未摊销的该项目的摊余价值全部转入当期损益。</w:t>
      </w:r>
    </w:p>
    <w:p>
      <w:pPr>
        <w:keepNext/>
        <w:keepLines/>
        <w:spacing w:before="300" w:after="300" w:line="280" w:lineRule="exact"/>
        <w:jc w:val="left"/>
        <w:outlineLvl w:val="2"/>
        <w:rPr>
          <w:rFonts w:ascii="宋体" w:hAnsi="宋体" w:eastAsia="宋体" w:cs="宋体"/>
          <w:b/>
          <w:bCs/>
          <w:sz w:val="21"/>
          <w:szCs w:val="21"/>
        </w:rPr>
      </w:pPr>
      <w:bookmarkStart w:id="155" w:name="_Toc989044"/>
      <w:r>
        <w:rPr>
          <w:rFonts w:ascii="宋体" w:hAnsi="宋体" w:eastAsia="宋体" w:cs="宋体"/>
          <w:b/>
          <w:bCs/>
          <w:sz w:val="21"/>
          <w:szCs w:val="21"/>
        </w:rPr>
        <w:t>32、合同负债</w:t>
      </w:r>
      <w:bookmarkEnd w:id="155"/>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公司根据履行履约义务与客户付款之间的关系在资产负债表中列示合同资产或合同负债。公司将同一合同下的合同资产和合同负债相互抵销后以净额列示。</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公司将拥有的、无条件(即，仅取决于时间流逝)向客户收取对价的权利作为应收款项列示，将已向客户转让商品而有权收取对价的权利（该权利取决于时间流逝之外的其他因素）作为合同资产列示。</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公司将已收或应收客户对价而应向客户转让商品的义务作为合同负债列示。</w:t>
      </w:r>
    </w:p>
    <w:p>
      <w:pPr>
        <w:keepNext/>
        <w:keepLines/>
        <w:spacing w:before="300" w:after="300" w:line="280" w:lineRule="exact"/>
        <w:jc w:val="left"/>
        <w:outlineLvl w:val="2"/>
        <w:rPr>
          <w:rFonts w:ascii="宋体" w:hAnsi="宋体" w:eastAsia="宋体" w:cs="宋体"/>
          <w:b/>
          <w:bCs/>
          <w:sz w:val="21"/>
          <w:szCs w:val="21"/>
        </w:rPr>
      </w:pPr>
      <w:bookmarkStart w:id="156" w:name="_Toc989045"/>
      <w:r>
        <w:rPr>
          <w:rFonts w:ascii="宋体" w:hAnsi="宋体" w:eastAsia="宋体" w:cs="宋体"/>
          <w:b/>
          <w:bCs/>
          <w:sz w:val="21"/>
          <w:szCs w:val="21"/>
        </w:rPr>
        <w:t>33、职工薪酬</w:t>
      </w:r>
      <w:bookmarkEnd w:id="156"/>
    </w:p>
    <w:p>
      <w:pPr>
        <w:keepNext/>
        <w:keepLines/>
        <w:spacing w:before="300" w:after="300" w:line="280" w:lineRule="exact"/>
        <w:jc w:val="left"/>
        <w:outlineLvl w:val="3"/>
        <w:rPr>
          <w:rFonts w:ascii="宋体" w:hAnsi="宋体" w:eastAsia="宋体" w:cs="宋体"/>
          <w:b/>
          <w:bCs/>
          <w:sz w:val="21"/>
          <w:szCs w:val="21"/>
        </w:rPr>
      </w:pPr>
      <w:bookmarkStart w:id="157" w:name="_Toc989046"/>
      <w:r>
        <w:rPr>
          <w:rFonts w:ascii="宋体" w:hAnsi="宋体" w:eastAsia="宋体" w:cs="宋体"/>
          <w:b/>
          <w:bCs/>
          <w:sz w:val="21"/>
          <w:szCs w:val="21"/>
        </w:rPr>
        <w:t>（1） 短期薪酬的会计处理方法</w:t>
      </w:r>
      <w:bookmarkEnd w:id="157"/>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在职工为公司提供服务的会计期间，将实际发生的短期薪酬确认为负债，并计入当期损益或相关资产成本。</w:t>
      </w:r>
    </w:p>
    <w:p>
      <w:pPr>
        <w:keepNext/>
        <w:keepLines/>
        <w:spacing w:before="300" w:after="300" w:line="280" w:lineRule="exact"/>
        <w:jc w:val="left"/>
        <w:outlineLvl w:val="3"/>
        <w:rPr>
          <w:rFonts w:ascii="宋体" w:hAnsi="宋体" w:eastAsia="宋体" w:cs="宋体"/>
          <w:b/>
          <w:bCs/>
          <w:sz w:val="21"/>
          <w:szCs w:val="21"/>
        </w:rPr>
      </w:pPr>
      <w:bookmarkStart w:id="158" w:name="_Toc989047"/>
      <w:r>
        <w:rPr>
          <w:rFonts w:ascii="宋体" w:hAnsi="宋体" w:eastAsia="宋体" w:cs="宋体"/>
          <w:b/>
          <w:bCs/>
          <w:sz w:val="21"/>
          <w:szCs w:val="21"/>
        </w:rPr>
        <w:t>（2） 离职后福利的会计处理方法</w:t>
      </w:r>
      <w:bookmarkEnd w:id="158"/>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离职后福利分为设定提存计划和设定受益计划。</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(1) 在职工为公司提供服务的会计期间，根据设定提存计划计算的应缴存金额确认为负债，并计入当期损益或相关资产成本。</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(2) 对设定受益计划的会计处理通常包括下列步骤：</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1) 根据预期累计福利单位法，采用无偏且相互一致的精算假设对有关人口统计变量和财务变量等作出估计，计量设定受益计划所产生的义务，并确定相关义务的所属期间。同时，对设定受益计划所产生的义务予以折现，以确定设定受益计划义务的现值和当期服务成本；</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2) 设定受益计划存在资产的，将设定受益计划义务现值减去设定受益计划资产公允价值所形成的赤字或盈余确认为一项设定受益计划净负债或净资产。设定受益计划存在盈余的，以设定受益计划的盈余和资产上限两项的孰低者计量设定受益计划净资产；</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3) 期末，将设定受益计划产生的职工薪酬成本确认为服务成本、设定受益计划净负债或净资产的利息净额以及重新计量设定受益计划净负债或净资产所产生的变动等三部分，其中服务成本和设定受益计划净负债或净资产的利息净额计入当期损益或相关资产成本，重新计量设定受益计划净负债或净资产所产生的变动计入其他综合收益，并且在后续会计期间不允许转回至损益，但可以在权益范围内转移这些在其他综合收益确认的金额。</w:t>
      </w:r>
    </w:p>
    <w:p>
      <w:pPr>
        <w:keepNext/>
        <w:keepLines/>
        <w:spacing w:before="300" w:after="300" w:line="280" w:lineRule="exact"/>
        <w:jc w:val="left"/>
        <w:outlineLvl w:val="3"/>
        <w:rPr>
          <w:rFonts w:ascii="宋体" w:hAnsi="宋体" w:eastAsia="宋体" w:cs="宋体"/>
          <w:b/>
          <w:bCs/>
          <w:sz w:val="21"/>
          <w:szCs w:val="21"/>
        </w:rPr>
      </w:pPr>
      <w:bookmarkStart w:id="159" w:name="_Toc989048"/>
      <w:r>
        <w:rPr>
          <w:rFonts w:ascii="宋体" w:hAnsi="宋体" w:eastAsia="宋体" w:cs="宋体"/>
          <w:b/>
          <w:bCs/>
          <w:sz w:val="21"/>
          <w:szCs w:val="21"/>
        </w:rPr>
        <w:t>（3） 辞退福利的会计处理方法</w:t>
      </w:r>
      <w:bookmarkEnd w:id="159"/>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向职工提供的辞退福利，在下列两者孰早日确认辞退福利产生的职工薪酬负债，并计入当期损益：(1) 公司不能单方面撤回因解除劳动关系计划或裁减建议所提供的辞退福利时；(2) 公司确认与涉及支付辞退福利的重组相关的成本或费用时。</w:t>
      </w:r>
    </w:p>
    <w:p>
      <w:pPr>
        <w:keepNext/>
        <w:keepLines/>
        <w:spacing w:before="300" w:after="300" w:line="280" w:lineRule="exact"/>
        <w:jc w:val="left"/>
        <w:outlineLvl w:val="3"/>
        <w:rPr>
          <w:rFonts w:ascii="宋体" w:hAnsi="宋体" w:eastAsia="宋体" w:cs="宋体"/>
          <w:b/>
          <w:bCs/>
          <w:sz w:val="21"/>
          <w:szCs w:val="21"/>
        </w:rPr>
      </w:pPr>
      <w:bookmarkStart w:id="160" w:name="_Toc989049"/>
      <w:r>
        <w:rPr>
          <w:rFonts w:ascii="宋体" w:hAnsi="宋体" w:eastAsia="宋体" w:cs="宋体"/>
          <w:b/>
          <w:bCs/>
          <w:sz w:val="21"/>
          <w:szCs w:val="21"/>
        </w:rPr>
        <w:t>（4） 其他长期职工福利的会计处理方法</w:t>
      </w:r>
      <w:bookmarkEnd w:id="160"/>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向职工提供的其他长期福利，符合设定提存计划条件的，按照设定提存计划的有关规定进行会计处理；除此之外的其他长期福利，按照设定受益计划的有关规定进行会计处理，为简化相关会计处理，将其产生的职工薪酬成本确认为服务成本、其他长期职工福利净负债或净资产的利息净额以及重新计量其他长期职工福利净负债或净资产所产生的变动等组成项目的总净额计入当期损益或相关资产成本。</w:t>
      </w:r>
    </w:p>
    <w:p>
      <w:pPr>
        <w:keepNext/>
        <w:keepLines/>
        <w:spacing w:before="300" w:after="300" w:line="280" w:lineRule="exact"/>
        <w:jc w:val="left"/>
        <w:outlineLvl w:val="2"/>
        <w:rPr>
          <w:rFonts w:ascii="宋体" w:hAnsi="宋体" w:eastAsia="宋体" w:cs="宋体"/>
          <w:b/>
          <w:bCs/>
          <w:sz w:val="21"/>
          <w:szCs w:val="21"/>
        </w:rPr>
      </w:pPr>
      <w:bookmarkStart w:id="161" w:name="_Toc989050"/>
      <w:r>
        <w:rPr>
          <w:rFonts w:ascii="宋体" w:hAnsi="宋体" w:eastAsia="宋体" w:cs="宋体"/>
          <w:b/>
          <w:bCs/>
          <w:sz w:val="21"/>
          <w:szCs w:val="21"/>
        </w:rPr>
        <w:t>34、预计负债</w:t>
      </w:r>
      <w:bookmarkEnd w:id="161"/>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1. 因对外提供担保、诉讼事项、产品质量保证、亏损合同等或有事项形成的义务成为公司承担的现时义务，履行该义务很可能导致经济利益流出公司，且该义务的金额能够可靠的计量时，公司将该项义务确认为预计负债。</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2. 公司按照履行相关现时义务所需支出的最佳估计数对预计负债进行初始计量，并在资产负债表日对预计负债的账面价值进行复核。</w:t>
      </w:r>
    </w:p>
    <w:p>
      <w:pPr>
        <w:keepNext/>
        <w:keepLines/>
        <w:spacing w:before="300" w:after="300" w:line="280" w:lineRule="exact"/>
        <w:jc w:val="left"/>
        <w:outlineLvl w:val="2"/>
        <w:rPr>
          <w:rFonts w:ascii="宋体" w:hAnsi="宋体" w:eastAsia="宋体" w:cs="宋体"/>
          <w:b/>
          <w:bCs/>
          <w:sz w:val="21"/>
          <w:szCs w:val="21"/>
        </w:rPr>
      </w:pPr>
      <w:bookmarkStart w:id="162" w:name="_Toc989051"/>
      <w:r>
        <w:rPr>
          <w:rFonts w:ascii="宋体" w:hAnsi="宋体" w:eastAsia="宋体" w:cs="宋体"/>
          <w:b/>
          <w:bCs/>
          <w:sz w:val="21"/>
          <w:szCs w:val="21"/>
        </w:rPr>
        <w:t>35、股份支付</w:t>
      </w:r>
      <w:bookmarkEnd w:id="162"/>
    </w:p>
    <w:p>
      <w:pPr>
        <w:keepNext/>
        <w:keepLines/>
        <w:spacing w:before="300" w:after="300" w:line="280" w:lineRule="exact"/>
        <w:jc w:val="left"/>
        <w:outlineLvl w:val="2"/>
        <w:rPr>
          <w:rFonts w:ascii="宋体" w:hAnsi="宋体" w:eastAsia="宋体" w:cs="宋体"/>
          <w:b/>
          <w:bCs/>
          <w:sz w:val="21"/>
          <w:szCs w:val="21"/>
        </w:rPr>
      </w:pPr>
      <w:bookmarkStart w:id="163" w:name="_Toc989052"/>
      <w:r>
        <w:rPr>
          <w:rFonts w:ascii="宋体" w:hAnsi="宋体" w:eastAsia="宋体" w:cs="宋体"/>
          <w:b/>
          <w:bCs/>
          <w:sz w:val="21"/>
          <w:szCs w:val="21"/>
        </w:rPr>
        <w:t>36、优先股、永续债等其他金融工具</w:t>
      </w:r>
      <w:bookmarkEnd w:id="163"/>
    </w:p>
    <w:p>
      <w:pPr>
        <w:keepNext/>
        <w:keepLines/>
        <w:spacing w:before="300" w:after="300" w:line="280" w:lineRule="exact"/>
        <w:jc w:val="left"/>
        <w:outlineLvl w:val="2"/>
        <w:rPr>
          <w:rFonts w:ascii="宋体" w:hAnsi="宋体" w:eastAsia="宋体" w:cs="宋体"/>
          <w:b/>
          <w:bCs/>
          <w:sz w:val="21"/>
          <w:szCs w:val="21"/>
        </w:rPr>
      </w:pPr>
      <w:bookmarkStart w:id="164" w:name="_Toc989053"/>
      <w:r>
        <w:rPr>
          <w:rFonts w:ascii="宋体" w:hAnsi="宋体" w:eastAsia="宋体" w:cs="宋体"/>
          <w:b/>
          <w:bCs/>
          <w:sz w:val="21"/>
          <w:szCs w:val="21"/>
        </w:rPr>
        <w:t>37、收入</w:t>
      </w:r>
      <w:bookmarkEnd w:id="164"/>
    </w:p>
    <w:p>
      <w:pPr>
        <w:spacing w:before="100" w:after="100" w:line="240" w:lineRule="exact"/>
        <w:jc w:val="left"/>
        <w:rPr>
          <w:rFonts w:ascii="宋体" w:hAnsi="宋体" w:eastAsia="宋体" w:cs="宋体"/>
          <w:sz w:val="18"/>
          <w:szCs w:val="18"/>
        </w:rPr>
      </w:pPr>
      <w:r>
        <w:rPr>
          <w:rFonts w:ascii="宋体" w:hAnsi="宋体" w:eastAsia="宋体" w:cs="宋体"/>
          <w:sz w:val="18"/>
          <w:szCs w:val="18"/>
        </w:rPr>
        <w:t>按照业务类型披露收入确认和计量所采用的会计政策</w:t>
      </w:r>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7"/>
          <w:szCs w:val="27"/>
        </w:rPr>
      </w:pPr>
      <w:r>
        <w:rPr>
          <w:rFonts w:hint="eastAsia" w:ascii="宋体" w:hAnsi="宋体" w:eastAsia="宋体" w:cs="宋体"/>
          <w:color w:val="000000"/>
          <w:sz w:val="18"/>
          <w:szCs w:val="18"/>
        </w:rPr>
        <w:t>1. 收入确认原则</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于合同开始日，公司对合同进行评估，识别合同所包含的各单项履约义务，并确定各单项履约义务是在某一时段内履行，还是在某一时点履行。</w:t>
      </w:r>
    </w:p>
    <w:p>
      <w:pPr>
        <w:pStyle w:val="5"/>
        <w:keepNext w:val="0"/>
        <w:keepLines w:val="0"/>
        <w:widowControl/>
        <w:suppressLineNumbers w:val="0"/>
        <w:spacing w:before="100" w:beforeAutospacing="0" w:after="0" w:afterAutospacing="0" w:line="360" w:lineRule="auto"/>
        <w:ind w:left="0" w:right="0" w:firstLine="420"/>
        <w:jc w:val="left"/>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满足下列条件之一时，属于在某一时段内履行履约义务，否则，属于在某一时点履行履约义务：(1) 客户在公司履约的同时即取得并消耗公司履约所带来的经济利益；(2) 客户能够控制公司履约过程中在建商品；(3) 公司履约过程中所产出的商品具有不可替代用途，且公司在整个合同期间内有权就累计至今已完成的履约部分收取款项。</w:t>
      </w:r>
    </w:p>
    <w:p>
      <w:pPr>
        <w:pStyle w:val="5"/>
        <w:keepNext w:val="0"/>
        <w:keepLines w:val="0"/>
        <w:widowControl/>
        <w:suppressLineNumbers w:val="0"/>
        <w:spacing w:before="100" w:beforeAutospacing="0" w:after="0" w:afterAutospacing="0" w:line="360" w:lineRule="auto"/>
        <w:ind w:left="0" w:right="0" w:firstLine="420"/>
        <w:jc w:val="left"/>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对于在某一时段内履行的履约义务，公司在该段时间内按照履约进度确认收入。履约进度不能合理确定时，已经发生的成本预计能够得到补偿的，按照已经发生的成本金额确认收入，直到履约进度能够合理确定为止。对于在某一时点履行的履约义务，在客户取得相关商品或服务控制权时点确认收入。在判断客户是否已取得商品控制权时，公司考虑下列迹象：(1) 公司就该商品享有现时收款权利，即客户就该商品负有现时付款义务；(2) 公司已将该商品的法定所有权转移给客户，即客户已拥有该商品的法定所有权；(3) 公司已将该商品实物转移给客户，即客户已实物占有该商品；(4) 公司已将该商品所有权上的主要风险和报酬转移给客户，即客户已取得该商品所有权上的主要风险和报酬；(5) 客户已接受该商品；(6) 其他表明客户已取得商品控制权的迹象。</w:t>
      </w:r>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7"/>
          <w:szCs w:val="27"/>
        </w:rPr>
      </w:pPr>
      <w:r>
        <w:rPr>
          <w:rFonts w:hint="eastAsia" w:ascii="宋体" w:hAnsi="宋体" w:eastAsia="宋体" w:cs="宋体"/>
          <w:color w:val="000000"/>
          <w:sz w:val="18"/>
          <w:szCs w:val="18"/>
        </w:rPr>
        <w:t>2. 收入计量原则</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(1) 公司按照分摊至各单项履约义务的交易价格计量收入。交易价格是公司因向客户转让商品或服务而预期有权收取的对价金额，不包括代第三方收取的款项以及预期将退还给客户的款项。</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(2) 合同中存在可变对价的，公司按照期望值或最可能发生金额确定可变对价的最佳估计数，但包含可变对价的交易价格，不超过在相关不确定性消除时累计已确认收入极可能不会发生重大转回的金额。</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(3) 合同中存在重大融资成分的，公司按照假定客户在取得商品或服务控制权时即以现金支付的应付金额确定交易价格。该交易价格与合同对价之间的差额，在合同期间内采用实际利率法摊销。合同开始日，公司预计客户取得商品或服务控制权与客户支付价款间隔不超过一年的，不考虑合同中存在的重大融资成分。</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(4) 合同中包含两项或多项履约义务的，公司于合同开始日，按照各单项履约义务所承诺商品的单独售价的相对比例，将交易价格分摊至各单项履约义务。</w:t>
      </w:r>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7"/>
          <w:szCs w:val="27"/>
        </w:rPr>
      </w:pPr>
      <w:r>
        <w:rPr>
          <w:rFonts w:hint="eastAsia" w:ascii="宋体" w:hAnsi="宋体" w:eastAsia="宋体" w:cs="宋体"/>
          <w:color w:val="000000"/>
          <w:sz w:val="18"/>
          <w:szCs w:val="18"/>
        </w:rPr>
        <w:t>3. 收入确认的具体方法</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(1) 电力销售收入</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公司电力销售业务属于在某一时点履行的履约义务，在电力输送至客户指定上网电量计量点并由客户确认接受、已收取货款或取得收款权利且相关的经济利益很可能流入时确认收入。</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(2) 热力销售收入</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公司热力供应业务属于在某一时点履行的履约义务，在热力供应发生后公司按照提供的供热面积及符合规定的价格在服务提供期间内确认收入的实现。</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(3) 服务收入</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公司服务收入主要指提供检修服务及施工服务等而收取的收入。公司将其作为在某一时段内履行的履约义务，依据合同约定服务内容，按照履约进度确认收入。</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(4) 商品销售收入</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公司商品销售业务属于在某一时点履行的履约义务。在公司依据与客户的销售合同条款，在客户已接受该产品并取得该产品控制权时确认销售商品的收入。</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同类业务采用不同经营模式涉及不同收入确认方式及计量方法的情况</w:t>
      </w:r>
    </w:p>
    <w:p>
      <w:pPr>
        <w:keepNext/>
        <w:keepLines/>
        <w:spacing w:before="300" w:after="300" w:line="280" w:lineRule="exact"/>
        <w:jc w:val="left"/>
        <w:outlineLvl w:val="2"/>
        <w:rPr>
          <w:rFonts w:ascii="宋体" w:hAnsi="宋体" w:eastAsia="宋体" w:cs="宋体"/>
          <w:b/>
          <w:bCs/>
          <w:sz w:val="21"/>
          <w:szCs w:val="21"/>
        </w:rPr>
      </w:pPr>
      <w:bookmarkStart w:id="165" w:name="_Toc989054"/>
      <w:r>
        <w:rPr>
          <w:rFonts w:ascii="宋体" w:hAnsi="宋体" w:eastAsia="宋体" w:cs="宋体"/>
          <w:b/>
          <w:bCs/>
          <w:sz w:val="21"/>
          <w:szCs w:val="21"/>
        </w:rPr>
        <w:t>38、合同成本</w:t>
      </w:r>
      <w:bookmarkEnd w:id="165"/>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与合同成本有关的资产包括合同取得成本和合同履约成本。</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公司为取得合同发生的增量成本预期能够收回的，作为合同取得成本确认为一项资产。如果合同取得成本的摊销期限不超过一年，在发生时直接计入当期损益。</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公司为履行合同发生的成本，不适用存货、固定资产或无形资产等相关准则的规范范围且同时满足下列条件的，作为合同履约成本确认为一项资产：</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1. 该成本与一份当前或预期取得的合同直接相关，包括直接人工、直接材料、制造费用（或类似费用）、明确由客户承担的成本以及仅因该合同而发生的其他成本；</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2. 该成本增加了公司未来用于履行履约义务的资源；</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3. 该成本预期能够收回。</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公司对于与合同成本有关的资产采用与该资产相关的商品或服务收入确认相同的基础进行摊销，计入当期损益。</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如果与合同成本有关的资产的账面价值高于因转让与该资产相关的商品或服务预期能够取得的剩余对价减去估计将要发生的成本，公司对超出部分计提减值准备，并确认为资产减值损失。以前期间减值的因素之后发生变化，使得转让该资产相关的商品或服务预期能够取得的剩余对价减去估计将要发生的成本高于该资产账面价值的，转回原已计提的资产减值准备，并计入当期损益，但转回后的资产账面价值不超过假定不计提减值准备情况下该资产在转回日的账面价值。</w:t>
      </w:r>
    </w:p>
    <w:p>
      <w:pPr>
        <w:keepNext/>
        <w:keepLines/>
        <w:spacing w:before="300" w:after="300" w:line="280" w:lineRule="exact"/>
        <w:jc w:val="left"/>
        <w:outlineLvl w:val="2"/>
        <w:rPr>
          <w:rFonts w:ascii="宋体" w:hAnsi="宋体" w:eastAsia="宋体" w:cs="宋体"/>
          <w:b/>
          <w:bCs/>
          <w:sz w:val="21"/>
          <w:szCs w:val="21"/>
        </w:rPr>
      </w:pPr>
      <w:bookmarkStart w:id="166" w:name="_Toc989055"/>
      <w:r>
        <w:rPr>
          <w:rFonts w:ascii="宋体" w:hAnsi="宋体" w:eastAsia="宋体" w:cs="宋体"/>
          <w:b/>
          <w:bCs/>
          <w:sz w:val="21"/>
          <w:szCs w:val="21"/>
        </w:rPr>
        <w:t>39、政府补助</w:t>
      </w:r>
      <w:bookmarkEnd w:id="166"/>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1. 政府补助在同时满足下列条件时予以确认：(1) 公司能够满足政府补助所附的条件；(2) 公司能够收到政府补助。政府补助为货币性资产的，按照收到或应收的金额计量。政府补助为非货币性资产的，按照公允价值计量；公允价值不能可靠取得的，按照名义金额计量。</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2. 与资产相关的政府补助判断依据及会计处理方法</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color w:val="000000"/>
          <w:sz w:val="18"/>
          <w:szCs w:val="18"/>
          <w:vertAlign w:val="baseline"/>
        </w:rPr>
        <w:t>政府文件规定用于购建或以其他方式形成长期资产的政府补助划分为</w:t>
      </w:r>
      <w:r>
        <w:rPr>
          <w:rFonts w:hint="eastAsia" w:ascii="宋体" w:hAnsi="宋体" w:eastAsia="宋体" w:cs="宋体"/>
          <w:sz w:val="18"/>
          <w:szCs w:val="18"/>
          <w:vertAlign w:val="baseline"/>
        </w:rPr>
        <w:t>与资产相关的政府补助。政府文件不明确的，以取得该补助必须具备的基本条件为基础进行判断，以购建或其他方式形成长期资产为基本条件的作为与资产相关的政府补助。与资产相关的政府补助，冲减相关资产的账面价值或确认为递延收益。与资产相关的政府补助确认为递延收益的，在相关资产使用寿命内按照合理、系统的方法分期计入损益。按照名义金额计量的政府补助，直接计入当期损益。相关资产在使用寿命结束前被出售、转让、报废或发生毁损的，将尚未分配的相关递延收益余额转入资产处置当期的损益。</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3. 与收益相关的政府补助判断依据及会计处理方法</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color w:val="000000"/>
          <w:sz w:val="18"/>
          <w:szCs w:val="18"/>
          <w:vertAlign w:val="baseline"/>
        </w:rPr>
        <w:t>除与资产相关的政府补助之外的政府补助划分为与收益相关的政府补助。对于同时包含与资产相关部分和与收益相关部分的政府补助，难以区分与资产相关或与收益相关的，整体归类为与收益相关的政府补助。</w:t>
      </w:r>
      <w:r>
        <w:rPr>
          <w:rFonts w:hint="eastAsia" w:ascii="宋体" w:hAnsi="宋体" w:eastAsia="宋体" w:cs="宋体"/>
          <w:sz w:val="18"/>
          <w:szCs w:val="18"/>
          <w:vertAlign w:val="baseline"/>
        </w:rPr>
        <w:t>与收益相关的政府补助，用于补偿以后期间的相关成本费用或损失的，确认为递延收益，在确认相关成本费用或损失的期间，计入当期损益或冲减相关成本；用于补偿已发生的相关成本费用或损失的，直接计入当期损益或冲减相关成本。</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color w:val="000000"/>
          <w:sz w:val="18"/>
          <w:szCs w:val="18"/>
          <w:vertAlign w:val="baseline"/>
        </w:rPr>
        <w:t>4. 与公司日常经营活动相关的政府补助，按照经济业务实质，计入其他收益或冲减相关成本费用。与公司日常活动无关的政府补助，计入营业外收支。</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5. 政策性优惠贷款贴息的会计处理方法</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(1) 财政将贴息资金拨付给贷款银行，由贷款银行以政策性优惠利率向公司提供贷款的，以实际收到的借款金额作为借款的入账价值，按照借款本金和该政策性优惠利率计算相关借款费用。</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(2) 财政将贴息资金直接拨付给公司的，将对应的贴息冲减相关借款费用。</w:t>
      </w:r>
    </w:p>
    <w:p>
      <w:pPr>
        <w:keepNext/>
        <w:keepLines/>
        <w:spacing w:before="300" w:after="300" w:line="280" w:lineRule="exact"/>
        <w:jc w:val="left"/>
        <w:outlineLvl w:val="2"/>
        <w:rPr>
          <w:rFonts w:ascii="宋体" w:hAnsi="宋体" w:eastAsia="宋体" w:cs="宋体"/>
          <w:b/>
          <w:bCs/>
          <w:sz w:val="21"/>
          <w:szCs w:val="21"/>
        </w:rPr>
      </w:pPr>
      <w:bookmarkStart w:id="167" w:name="_Toc989056"/>
      <w:r>
        <w:rPr>
          <w:rFonts w:ascii="宋体" w:hAnsi="宋体" w:eastAsia="宋体" w:cs="宋体"/>
          <w:b/>
          <w:bCs/>
          <w:sz w:val="21"/>
          <w:szCs w:val="21"/>
        </w:rPr>
        <w:t>40、递延所得税资产/递延所得税负债</w:t>
      </w:r>
      <w:bookmarkEnd w:id="167"/>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1. 根据资产、负债的账面价值与其计税基础之间的差额（未作为资产和负债确认的项目按照税法规定可以确定其计税基础的，该计税基础与其账面数之间的差额），按照预期收回该资产或清偿该负债期间的适用税率计算确认递延所得税资产或递延所得税负债。</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2. 确认递延所得税资产以很可能取得用来抵扣可抵扣暂时性差异的应纳税所得额为限。资产负债表日，有确凿证据表明未来期间很可能获得足够的应纳税所得额用来抵扣可抵扣暂时性差异的，确认以前会计期间未确认的递延所得税资产。</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3. 资产负债表日，对递延所得税资产的账面价值进行复核，如果未来期间很可能无法获得足够的应纳税所得额用以抵扣递延所得税资产的利益，则减记递延所得税资产的账面价值。在很可能获得足够的应纳税所得额时，转回减记的金额。</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4. 公司当期所得税和递延所得税作为所得税费用或收益计入当期损益，但不包括下列情况产生的所得税：(1) 企业合并；(2) 直接在所有者权益中确认的交易或者事项。</w:t>
      </w:r>
    </w:p>
    <w:p>
      <w:pPr>
        <w:keepNext/>
        <w:keepLines/>
        <w:spacing w:before="300" w:after="300" w:line="280" w:lineRule="exact"/>
        <w:jc w:val="left"/>
        <w:outlineLvl w:val="2"/>
        <w:rPr>
          <w:rFonts w:ascii="宋体" w:hAnsi="宋体" w:eastAsia="宋体" w:cs="宋体"/>
          <w:b/>
          <w:bCs/>
          <w:sz w:val="21"/>
          <w:szCs w:val="21"/>
        </w:rPr>
      </w:pPr>
      <w:bookmarkStart w:id="168" w:name="_Toc989057"/>
      <w:r>
        <w:rPr>
          <w:rFonts w:ascii="宋体" w:hAnsi="宋体" w:eastAsia="宋体" w:cs="宋体"/>
          <w:b/>
          <w:bCs/>
          <w:sz w:val="21"/>
          <w:szCs w:val="21"/>
        </w:rPr>
        <w:t>41、租赁</w:t>
      </w:r>
      <w:bookmarkEnd w:id="168"/>
    </w:p>
    <w:p>
      <w:pPr>
        <w:keepNext/>
        <w:keepLines/>
        <w:spacing w:before="300" w:after="300" w:line="280" w:lineRule="exact"/>
        <w:jc w:val="left"/>
        <w:outlineLvl w:val="3"/>
        <w:rPr>
          <w:rFonts w:ascii="宋体" w:hAnsi="宋体" w:eastAsia="宋体" w:cs="宋体"/>
          <w:b/>
          <w:bCs/>
          <w:sz w:val="21"/>
          <w:szCs w:val="21"/>
        </w:rPr>
      </w:pPr>
      <w:bookmarkStart w:id="169" w:name="_Toc989058"/>
      <w:r>
        <w:rPr>
          <w:rFonts w:ascii="宋体" w:hAnsi="宋体" w:eastAsia="宋体" w:cs="宋体"/>
          <w:b/>
          <w:bCs/>
          <w:sz w:val="21"/>
          <w:szCs w:val="21"/>
        </w:rPr>
        <w:t>（1） 作为承租方租赁的会计处理方法</w:t>
      </w:r>
      <w:bookmarkEnd w:id="169"/>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21"/>
          <w:szCs w:val="21"/>
          <w:vertAlign w:val="baseline"/>
        </w:rPr>
        <w:t>在租赁期开始日，公司将租赁期不超过12个月，且不包含购买选择权的租赁认定为短期租赁；将单项租赁资产为全新资产时价值较低的租赁认定为低价值资产租赁。公司转租或预期转租租赁资产的，原租赁不认定为低价值资产租赁。</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21"/>
          <w:szCs w:val="21"/>
          <w:vertAlign w:val="baseline"/>
        </w:rPr>
        <w:t>对于所有短期租赁和低价值资产租赁，公司在租赁期内各个期间按照直线法将租赁付款额计入相关资产成本或当期损益。</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21"/>
          <w:szCs w:val="21"/>
          <w:vertAlign w:val="baseline"/>
        </w:rPr>
        <w:t>除上述采用简化处理的短期租赁和低价值资产租赁外，在租赁期开始日，公司对租赁确认使用权资产和租赁负债。</w:t>
      </w:r>
    </w:p>
    <w:p>
      <w:pPr>
        <w:pStyle w:val="3"/>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4"/>
          <w:szCs w:val="24"/>
        </w:rPr>
      </w:pPr>
      <w:r>
        <w:rPr>
          <w:rStyle w:val="8"/>
          <w:rFonts w:hint="eastAsia" w:ascii="宋体" w:hAnsi="宋体" w:eastAsia="宋体" w:cs="宋体"/>
          <w:b/>
          <w:color w:val="000000"/>
          <w:sz w:val="21"/>
          <w:szCs w:val="21"/>
        </w:rPr>
        <w:t>(1) 使用权资产</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21"/>
          <w:szCs w:val="21"/>
          <w:vertAlign w:val="baseline"/>
        </w:rPr>
        <w:t>使用权资产按照成本进行初始计量，该成本包括：1) 租赁负债的初始计量金额；2) 在租赁期开始日或之前支付的租赁付款额，存在租赁激励的，扣除已享受的租赁激励相关金额；3) 承租人发生的初始直接费用；4) 承租人为拆卸及移除租赁资产、复原租赁资产所在场地或将租赁资产恢复至租赁条款约定状态预计将发生的成本。</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21"/>
          <w:szCs w:val="21"/>
          <w:vertAlign w:val="baseline"/>
        </w:rPr>
        <w:t>公司按照直线法对使用权资产计提折旧。能够合理确定租赁期届满时取得租赁资产所有权的，公司在租赁资产剩余使用寿命内计提折旧。无法合理确定租赁期届满时能够取得租赁资产所有权的，公司在租赁期与租赁资产剩余使用寿命两者孰短的期间内计提折旧。</w:t>
      </w:r>
    </w:p>
    <w:p>
      <w:pPr>
        <w:pStyle w:val="3"/>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4"/>
          <w:szCs w:val="24"/>
        </w:rPr>
      </w:pPr>
      <w:r>
        <w:rPr>
          <w:rStyle w:val="8"/>
          <w:rFonts w:hint="eastAsia" w:ascii="宋体" w:hAnsi="宋体" w:eastAsia="宋体" w:cs="宋体"/>
          <w:b/>
          <w:color w:val="000000"/>
          <w:sz w:val="21"/>
          <w:szCs w:val="21"/>
        </w:rPr>
        <w:t>(2) 租赁负债</w:t>
      </w:r>
    </w:p>
    <w:p>
      <w:pPr>
        <w:pStyle w:val="5"/>
        <w:keepNext w:val="0"/>
        <w:keepLines w:val="0"/>
        <w:widowControl/>
        <w:suppressLineNumbers w:val="0"/>
        <w:spacing w:before="100" w:beforeAutospacing="0" w:after="0" w:afterAutospacing="0" w:line="360" w:lineRule="auto"/>
        <w:ind w:left="0" w:right="0" w:firstLine="420"/>
        <w:jc w:val="left"/>
        <w:textAlignment w:val="baseline"/>
        <w:rPr>
          <w:rFonts w:hint="default" w:ascii="Times New Roman" w:hAnsi="Times New Roman" w:cs="Times New Roman"/>
          <w:sz w:val="24"/>
          <w:szCs w:val="24"/>
        </w:rPr>
      </w:pPr>
      <w:r>
        <w:rPr>
          <w:rFonts w:hint="eastAsia" w:ascii="宋体" w:hAnsi="宋体" w:eastAsia="宋体" w:cs="宋体"/>
          <w:sz w:val="21"/>
          <w:szCs w:val="21"/>
          <w:vertAlign w:val="baseline"/>
        </w:rPr>
        <w:t>在租赁期开始日，公司将尚未支付的租赁付款额的现值确认为租赁负债。计算租赁付款额现值时采用租赁内含利率作为折现率，无法确定租赁内含利率的，采用公司增量借款利率作为折现率。租赁付款额与其现值之间的差额作为未确认融资费用，在租赁期各个期间内按照确认租赁付款额现值的折现率确认利息费用，并计入当期损益。未纳入租赁负债计量的可变租赁付款额于实际发生时计入当期损益。</w:t>
      </w:r>
    </w:p>
    <w:p>
      <w:pPr>
        <w:pStyle w:val="5"/>
        <w:keepNext w:val="0"/>
        <w:keepLines w:val="0"/>
        <w:widowControl/>
        <w:suppressLineNumbers w:val="0"/>
        <w:spacing w:before="100" w:beforeAutospacing="0" w:after="0" w:afterAutospacing="0" w:line="360" w:lineRule="auto"/>
        <w:ind w:left="0" w:right="0" w:firstLine="420"/>
        <w:jc w:val="left"/>
        <w:textAlignment w:val="baseline"/>
        <w:rPr>
          <w:rFonts w:hint="default" w:ascii="Times New Roman" w:hAnsi="Times New Roman" w:cs="Times New Roman"/>
          <w:sz w:val="24"/>
          <w:szCs w:val="24"/>
        </w:rPr>
      </w:pPr>
      <w:r>
        <w:rPr>
          <w:rFonts w:hint="eastAsia" w:ascii="宋体" w:hAnsi="宋体" w:eastAsia="宋体" w:cs="宋体"/>
          <w:sz w:val="21"/>
          <w:szCs w:val="21"/>
          <w:vertAlign w:val="baseline"/>
        </w:rPr>
        <w:t>租赁期开始日后，当实质固定付款额发生变动、担保余值预计的应付金额发生变化、用于确定租赁付款额的指数或比率发生变动、购买选择权、续租选择权或终止选择权的评估结果或实际行权情况发生变化时，公司按照变动后的租赁付款额的现值重新计量租赁负债，并相应调整使用权资产的账面价值，如使用权资产账面价值已调减至零，但租赁负债仍需进一步调减的，将剩余金额计入当期损益。</w:t>
      </w:r>
    </w:p>
    <w:p>
      <w:pPr>
        <w:pStyle w:val="3"/>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4"/>
          <w:szCs w:val="24"/>
        </w:rPr>
      </w:pPr>
      <w:r>
        <w:rPr>
          <w:rStyle w:val="8"/>
          <w:rFonts w:hint="eastAsia" w:ascii="宋体" w:hAnsi="宋体" w:eastAsia="宋体" w:cs="宋体"/>
          <w:b/>
          <w:color w:val="000000"/>
          <w:sz w:val="21"/>
          <w:szCs w:val="21"/>
        </w:rPr>
        <w:t>(3)  售后租回</w:t>
      </w:r>
    </w:p>
    <w:p>
      <w:pPr>
        <w:pStyle w:val="5"/>
        <w:keepNext w:val="0"/>
        <w:keepLines w:val="0"/>
        <w:widowControl/>
        <w:suppressLineNumbers w:val="0"/>
        <w:spacing w:before="100" w:beforeAutospacing="0" w:after="0" w:afterAutospacing="0" w:line="360" w:lineRule="auto"/>
        <w:ind w:left="0" w:right="0" w:firstLine="420"/>
        <w:jc w:val="left"/>
        <w:textAlignment w:val="baseline"/>
        <w:rPr>
          <w:rFonts w:hint="default" w:ascii="Times New Roman" w:hAnsi="Times New Roman" w:cs="Times New Roman"/>
          <w:sz w:val="24"/>
          <w:szCs w:val="24"/>
        </w:rPr>
      </w:pPr>
      <w:r>
        <w:rPr>
          <w:rFonts w:hint="eastAsia" w:ascii="宋体" w:hAnsi="宋体" w:eastAsia="宋体" w:cs="宋体"/>
          <w:sz w:val="21"/>
          <w:szCs w:val="21"/>
          <w:vertAlign w:val="baseline"/>
        </w:rPr>
        <w:t>公司按照《企业会计准则第14号——收入》的规定，评估确定售后租回交易中的资产转让是否属于销售。</w:t>
      </w:r>
    </w:p>
    <w:p>
      <w:pPr>
        <w:pStyle w:val="5"/>
        <w:keepNext w:val="0"/>
        <w:keepLines w:val="0"/>
        <w:widowControl/>
        <w:suppressLineNumbers w:val="0"/>
        <w:spacing w:before="100" w:beforeAutospacing="0" w:after="0" w:afterAutospacing="0" w:line="360" w:lineRule="auto"/>
        <w:ind w:left="0" w:right="0" w:firstLine="420"/>
        <w:jc w:val="left"/>
        <w:textAlignment w:val="baseline"/>
        <w:rPr>
          <w:rFonts w:hint="default" w:ascii="Times New Roman" w:hAnsi="Times New Roman" w:cs="Times New Roman"/>
          <w:sz w:val="24"/>
          <w:szCs w:val="24"/>
        </w:rPr>
      </w:pPr>
      <w:r>
        <w:rPr>
          <w:rFonts w:hint="eastAsia" w:ascii="宋体" w:hAnsi="宋体" w:eastAsia="宋体" w:cs="宋体"/>
          <w:sz w:val="21"/>
          <w:szCs w:val="21"/>
          <w:vertAlign w:val="baseline"/>
        </w:rPr>
        <w:t>售后租回交易中的资产转让属于销售的，公司按原资产账面价值中与租回获得的使用权有关的部分，计量售后租回所形成的使用权资产，并仅就转让至出租人的权利确认相关利得或损失。</w:t>
      </w:r>
    </w:p>
    <w:p>
      <w:pPr>
        <w:pStyle w:val="5"/>
        <w:keepNext w:val="0"/>
        <w:keepLines w:val="0"/>
        <w:widowControl/>
        <w:suppressLineNumbers w:val="0"/>
        <w:spacing w:before="100" w:beforeAutospacing="0" w:after="0" w:afterAutospacing="0" w:line="360" w:lineRule="auto"/>
        <w:ind w:left="0" w:right="0" w:firstLine="420"/>
        <w:jc w:val="left"/>
        <w:textAlignment w:val="baseline"/>
        <w:rPr>
          <w:rFonts w:hint="default" w:ascii="Times New Roman" w:hAnsi="Times New Roman" w:cs="Times New Roman"/>
          <w:sz w:val="24"/>
          <w:szCs w:val="24"/>
        </w:rPr>
      </w:pPr>
      <w:r>
        <w:rPr>
          <w:rFonts w:hint="eastAsia" w:ascii="宋体" w:hAnsi="宋体" w:eastAsia="宋体" w:cs="宋体"/>
          <w:sz w:val="21"/>
          <w:szCs w:val="21"/>
          <w:vertAlign w:val="baseline"/>
        </w:rPr>
        <w:t>售后租回交易中的资产转让不属于销售的，公司继续确认被转让资产，同时确认一项与转让收入等额的金融负债，并按照《企业会计准则第22号——金融工具确认和计量》对该金融负债进行会计处理。</w:t>
      </w:r>
    </w:p>
    <w:p>
      <w:pPr>
        <w:keepNext/>
        <w:keepLines/>
        <w:spacing w:before="300" w:after="300" w:line="280" w:lineRule="exact"/>
        <w:jc w:val="left"/>
        <w:outlineLvl w:val="3"/>
        <w:rPr>
          <w:rFonts w:ascii="宋体" w:hAnsi="宋体" w:eastAsia="宋体" w:cs="宋体"/>
          <w:b/>
          <w:bCs/>
          <w:sz w:val="21"/>
          <w:szCs w:val="21"/>
        </w:rPr>
      </w:pPr>
      <w:bookmarkStart w:id="170" w:name="_Toc989059"/>
      <w:r>
        <w:rPr>
          <w:rFonts w:ascii="宋体" w:hAnsi="宋体" w:eastAsia="宋体" w:cs="宋体"/>
          <w:b/>
          <w:bCs/>
          <w:sz w:val="21"/>
          <w:szCs w:val="21"/>
        </w:rPr>
        <w:t>（2） 作为出租方租赁的会计处理方法</w:t>
      </w:r>
      <w:bookmarkEnd w:id="170"/>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21"/>
          <w:szCs w:val="21"/>
          <w:vertAlign w:val="baseline"/>
        </w:rPr>
        <w:t>在租赁开始日，公司将实质上转移了与租赁资产所有权有关的几乎全部风险和报酬的租赁划分为融资租赁，除此之外的均为经营租赁。</w:t>
      </w:r>
    </w:p>
    <w:p>
      <w:pPr>
        <w:pStyle w:val="3"/>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4"/>
          <w:szCs w:val="24"/>
        </w:rPr>
      </w:pPr>
      <w:r>
        <w:rPr>
          <w:rStyle w:val="8"/>
          <w:rFonts w:hint="eastAsia" w:ascii="宋体" w:hAnsi="宋体" w:eastAsia="宋体" w:cs="宋体"/>
          <w:b/>
          <w:color w:val="000000"/>
          <w:sz w:val="21"/>
          <w:szCs w:val="21"/>
        </w:rPr>
        <w:t>(1) 经营租赁</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21"/>
          <w:szCs w:val="21"/>
          <w:vertAlign w:val="baseline"/>
        </w:rPr>
        <w:t>公司在租赁期内各个期间按照直线法将租赁收款额确认为租金收入，发生的初始直接费用予以资本化并按照与租金收入确认相同的基础进行分摊，分期计入当期损益。公司取得的与经营租赁有关的未计入租赁收款额的可变租赁付款额在实际发生时计入当期损益。</w:t>
      </w:r>
    </w:p>
    <w:p>
      <w:pPr>
        <w:pStyle w:val="3"/>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4"/>
          <w:szCs w:val="24"/>
        </w:rPr>
      </w:pPr>
      <w:r>
        <w:rPr>
          <w:rStyle w:val="8"/>
          <w:rFonts w:hint="eastAsia" w:ascii="宋体" w:hAnsi="宋体" w:eastAsia="宋体" w:cs="宋体"/>
          <w:b/>
          <w:color w:val="000000"/>
          <w:sz w:val="21"/>
          <w:szCs w:val="21"/>
        </w:rPr>
        <w:t>(2) 融资租赁</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21"/>
          <w:szCs w:val="21"/>
          <w:vertAlign w:val="baseline"/>
        </w:rPr>
        <w:t>在租赁期开始日，公司按照租赁投资净额（未担保余值和租赁期开始日尚未收到的租赁收款额按照租赁内含利率折现的现值之和）确认应收融资租赁款，并终止确认融资租赁资产。在租赁期的各个期间，公司按照租赁内含利率计算并确认利息收入。</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21"/>
          <w:szCs w:val="21"/>
          <w:vertAlign w:val="baseline"/>
        </w:rPr>
        <w:t>公司取得的未纳入租赁投资净额计量的可变租赁付款额在实际发生时计入当期损益。</w:t>
      </w:r>
    </w:p>
    <w:p>
      <w:pPr>
        <w:pStyle w:val="3"/>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4"/>
          <w:szCs w:val="24"/>
        </w:rPr>
      </w:pPr>
      <w:r>
        <w:rPr>
          <w:rStyle w:val="8"/>
          <w:rFonts w:hint="eastAsia" w:ascii="宋体" w:hAnsi="宋体" w:eastAsia="宋体" w:cs="宋体"/>
          <w:b/>
          <w:color w:val="000000"/>
          <w:sz w:val="21"/>
          <w:szCs w:val="21"/>
        </w:rPr>
        <w:t>(3) 售后租回</w:t>
      </w:r>
    </w:p>
    <w:p>
      <w:pPr>
        <w:pStyle w:val="5"/>
        <w:keepNext w:val="0"/>
        <w:keepLines w:val="0"/>
        <w:widowControl/>
        <w:suppressLineNumbers w:val="0"/>
        <w:spacing w:before="100" w:beforeAutospacing="0" w:after="0" w:afterAutospacing="0" w:line="360" w:lineRule="auto"/>
        <w:ind w:left="0" w:right="0" w:firstLine="420"/>
        <w:jc w:val="left"/>
        <w:textAlignment w:val="baseline"/>
        <w:rPr>
          <w:rFonts w:hint="default" w:ascii="Times New Roman" w:hAnsi="Times New Roman" w:cs="Times New Roman"/>
          <w:sz w:val="24"/>
          <w:szCs w:val="24"/>
        </w:rPr>
      </w:pPr>
      <w:r>
        <w:rPr>
          <w:rFonts w:hint="eastAsia" w:ascii="宋体" w:hAnsi="宋体" w:eastAsia="宋体" w:cs="宋体"/>
          <w:sz w:val="21"/>
          <w:szCs w:val="21"/>
          <w:vertAlign w:val="baseline"/>
        </w:rPr>
        <w:t>公司按照《企业会计准则第14号——收入》的规定，评估确定售后租回交易中的资产转让是否属于销售。</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21"/>
          <w:szCs w:val="21"/>
          <w:vertAlign w:val="baseline"/>
        </w:rPr>
        <w:t>售后租回交易中的资产转让属于销售的，公司根据其他适用的企业会计准则对资产购买进行会计处理，并根据《企业会计准则第21号——租赁》对资产出租进行会计处理。</w:t>
      </w:r>
    </w:p>
    <w:p>
      <w:pPr>
        <w:pStyle w:val="5"/>
        <w:keepNext w:val="0"/>
        <w:keepLines w:val="0"/>
        <w:widowControl/>
        <w:suppressLineNumbers w:val="0"/>
        <w:spacing w:before="100" w:beforeAutospacing="0" w:after="0" w:afterAutospacing="0" w:line="360" w:lineRule="auto"/>
        <w:ind w:left="0" w:right="0" w:firstLine="420"/>
        <w:jc w:val="both"/>
        <w:textAlignment w:val="baseline"/>
        <w:rPr>
          <w:rFonts w:hint="default" w:ascii="Times New Roman" w:hAnsi="Times New Roman" w:cs="Times New Roman"/>
          <w:sz w:val="24"/>
          <w:szCs w:val="24"/>
        </w:rPr>
      </w:pPr>
      <w:r>
        <w:rPr>
          <w:rFonts w:hint="eastAsia" w:ascii="宋体" w:hAnsi="宋体" w:eastAsia="宋体" w:cs="宋体"/>
          <w:sz w:val="21"/>
          <w:szCs w:val="21"/>
          <w:vertAlign w:val="baseline"/>
        </w:rPr>
        <w:t>售后租回交易中的资产转让不属于销售的，公司不确认被转让资产，但确认一项与转让收入等额的金融资产，并按照《企业会计准则第22号——金融工具确认和计量》对该金融资产进行会计处理。</w:t>
      </w:r>
    </w:p>
    <w:p>
      <w:pPr>
        <w:keepNext/>
        <w:keepLines/>
        <w:spacing w:before="300" w:after="300" w:line="280" w:lineRule="exact"/>
        <w:jc w:val="left"/>
        <w:outlineLvl w:val="2"/>
        <w:rPr>
          <w:rFonts w:ascii="宋体" w:hAnsi="宋体" w:eastAsia="宋体" w:cs="宋体"/>
          <w:b/>
          <w:bCs/>
          <w:sz w:val="21"/>
          <w:szCs w:val="21"/>
        </w:rPr>
      </w:pPr>
      <w:bookmarkStart w:id="171" w:name="_Toc989060"/>
      <w:r>
        <w:rPr>
          <w:rFonts w:ascii="宋体" w:hAnsi="宋体" w:eastAsia="宋体" w:cs="宋体"/>
          <w:b/>
          <w:bCs/>
          <w:sz w:val="21"/>
          <w:szCs w:val="21"/>
        </w:rPr>
        <w:t>42、其他重要的会计政策和会计估计</w:t>
      </w:r>
      <w:bookmarkEnd w:id="171"/>
    </w:p>
    <w:p>
      <w:pPr>
        <w:keepNext/>
        <w:keepLines/>
        <w:spacing w:before="300" w:after="300" w:line="280" w:lineRule="exact"/>
        <w:jc w:val="left"/>
        <w:outlineLvl w:val="2"/>
        <w:rPr>
          <w:rFonts w:ascii="宋体" w:hAnsi="宋体" w:eastAsia="宋体" w:cs="宋体"/>
          <w:b/>
          <w:bCs/>
          <w:sz w:val="21"/>
          <w:szCs w:val="21"/>
        </w:rPr>
      </w:pPr>
      <w:bookmarkStart w:id="172" w:name="_Toc989061"/>
      <w:r>
        <w:rPr>
          <w:rFonts w:ascii="宋体" w:hAnsi="宋体" w:eastAsia="宋体" w:cs="宋体"/>
          <w:b/>
          <w:bCs/>
          <w:sz w:val="21"/>
          <w:szCs w:val="21"/>
        </w:rPr>
        <w:t>43、重要会计政策和会计估计变更</w:t>
      </w:r>
      <w:bookmarkEnd w:id="172"/>
    </w:p>
    <w:p>
      <w:pPr>
        <w:keepNext/>
        <w:keepLines/>
        <w:spacing w:before="300" w:after="300" w:line="280" w:lineRule="exact"/>
        <w:jc w:val="left"/>
        <w:outlineLvl w:val="3"/>
        <w:rPr>
          <w:rFonts w:ascii="宋体" w:hAnsi="宋体" w:eastAsia="宋体" w:cs="宋体"/>
          <w:b/>
          <w:bCs/>
          <w:sz w:val="18"/>
          <w:szCs w:val="18"/>
        </w:rPr>
      </w:pPr>
      <w:bookmarkStart w:id="173" w:name="_Toc989062"/>
      <w:r>
        <w:rPr>
          <w:rFonts w:ascii="宋体" w:hAnsi="宋体" w:eastAsia="宋体" w:cs="宋体"/>
          <w:b/>
          <w:bCs/>
          <w:sz w:val="18"/>
          <w:szCs w:val="18"/>
        </w:rPr>
        <w:t>（1） 重要会计政策变更</w:t>
      </w:r>
      <w:bookmarkEnd w:id="173"/>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会计政策变更的内容和原因</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受重要影响的报表项目名称</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影响金额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10月25日，财政部下发了关于印发《企业会计准则解释第17号》的通知（财会〔2023〕21号），规定“关于流动负债与非流动负债的划分”、“关于供应商融资安排的披露”、“关于售后租回交易的会计处理”等内容，自2024年1月1日起执行。</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经本公司董事会于2024年7月31日发布2024—55号公告，本公司于2024年1月1日起执行《企业会计准则解释第17号》相关规定。</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bl>
    <w:p>
      <w:pPr>
        <w:pStyle w:val="5"/>
        <w:keepNext w:val="0"/>
        <w:keepLines w:val="0"/>
        <w:widowControl/>
        <w:suppressLineNumbers w:val="0"/>
        <w:spacing w:before="40" w:beforeAutospacing="0" w:after="40" w:afterAutospacing="0" w:line="240" w:lineRule="atLeast"/>
        <w:ind w:left="0" w:right="0"/>
        <w:jc w:val="left"/>
        <w:rPr>
          <w:rFonts w:hint="default" w:ascii="Times New Roman" w:hAnsi="Times New Roman" w:cs="Times New Roman"/>
          <w:sz w:val="21"/>
          <w:szCs w:val="21"/>
        </w:rPr>
      </w:pPr>
      <w:r>
        <w:rPr>
          <w:rFonts w:hint="eastAsia" w:ascii="宋体" w:hAnsi="宋体" w:eastAsia="宋体" w:cs="宋体"/>
          <w:sz w:val="18"/>
          <w:szCs w:val="18"/>
        </w:rPr>
        <w:t>公司自 2024年1月1日起执行财政部颁布的《企业会计准则解释第 17 号》“关于流动负债与非流动负债的划分”、“关于供应商融资安排的披露”、“关于售后租回交易的会计处理”等内容，该项会计政策变更对公司财务报表无影响。</w:t>
      </w:r>
    </w:p>
    <w:p>
      <w:pPr>
        <w:keepNext/>
        <w:keepLines/>
        <w:spacing w:before="300" w:after="300" w:line="280" w:lineRule="exact"/>
        <w:jc w:val="left"/>
        <w:outlineLvl w:val="3"/>
        <w:rPr>
          <w:rFonts w:ascii="宋体" w:hAnsi="宋体" w:eastAsia="宋体" w:cs="宋体"/>
          <w:b/>
          <w:bCs/>
          <w:sz w:val="18"/>
          <w:szCs w:val="18"/>
        </w:rPr>
      </w:pPr>
      <w:bookmarkStart w:id="174" w:name="_Toc989063"/>
      <w:r>
        <w:rPr>
          <w:rFonts w:ascii="宋体" w:hAnsi="宋体" w:eastAsia="宋体" w:cs="宋体"/>
          <w:b/>
          <w:bCs/>
          <w:sz w:val="18"/>
          <w:szCs w:val="18"/>
        </w:rPr>
        <w:t>（2） 重要会计估计变更</w:t>
      </w:r>
      <w:bookmarkEnd w:id="174"/>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18"/>
          <w:szCs w:val="18"/>
        </w:rPr>
      </w:pPr>
      <w:bookmarkStart w:id="175" w:name="_Toc989064"/>
      <w:r>
        <w:rPr>
          <w:rFonts w:ascii="宋体" w:hAnsi="宋体" w:eastAsia="宋体" w:cs="宋体"/>
          <w:b/>
          <w:bCs/>
          <w:sz w:val="18"/>
          <w:szCs w:val="18"/>
        </w:rPr>
        <w:t>（3） 2024年起首次执行新会计准则调整首次执行当年年初财务报表相关项目情况</w:t>
      </w:r>
      <w:bookmarkEnd w:id="175"/>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176" w:name="_Toc989065"/>
      <w:r>
        <w:rPr>
          <w:rFonts w:ascii="宋体" w:hAnsi="宋体" w:eastAsia="宋体" w:cs="宋体"/>
          <w:b/>
          <w:bCs/>
          <w:sz w:val="21"/>
          <w:szCs w:val="21"/>
        </w:rPr>
        <w:t>44、其他</w:t>
      </w:r>
      <w:bookmarkEnd w:id="176"/>
    </w:p>
    <w:p>
      <w:pPr>
        <w:keepNext/>
        <w:keepLines/>
        <w:spacing w:before="300" w:after="300" w:line="320" w:lineRule="exact"/>
        <w:jc w:val="left"/>
        <w:outlineLvl w:val="1"/>
        <w:rPr>
          <w:rFonts w:ascii="宋体" w:hAnsi="宋体" w:eastAsia="宋体" w:cs="宋体"/>
          <w:b/>
          <w:bCs/>
          <w:sz w:val="24"/>
          <w:szCs w:val="24"/>
        </w:rPr>
      </w:pPr>
      <w:bookmarkStart w:id="177" w:name="_Toc989066"/>
      <w:r>
        <w:rPr>
          <w:rFonts w:ascii="宋体" w:hAnsi="宋体" w:eastAsia="宋体" w:cs="宋体"/>
          <w:b/>
          <w:bCs/>
          <w:sz w:val="24"/>
          <w:szCs w:val="24"/>
        </w:rPr>
        <w:t>六、税项</w:t>
      </w:r>
      <w:bookmarkEnd w:id="177"/>
    </w:p>
    <w:p>
      <w:pPr>
        <w:keepNext/>
        <w:keepLines/>
        <w:spacing w:before="300" w:after="300" w:line="280" w:lineRule="exact"/>
        <w:jc w:val="left"/>
        <w:outlineLvl w:val="2"/>
        <w:rPr>
          <w:rFonts w:ascii="宋体" w:hAnsi="宋体" w:eastAsia="宋体" w:cs="宋体"/>
          <w:b/>
          <w:bCs/>
          <w:sz w:val="21"/>
          <w:szCs w:val="21"/>
        </w:rPr>
      </w:pPr>
      <w:bookmarkStart w:id="178" w:name="_Toc989067"/>
      <w:r>
        <w:rPr>
          <w:rFonts w:ascii="宋体" w:hAnsi="宋体" w:eastAsia="宋体" w:cs="宋体"/>
          <w:b/>
          <w:bCs/>
          <w:sz w:val="21"/>
          <w:szCs w:val="21"/>
        </w:rPr>
        <w:t>1、主要税种及税率</w:t>
      </w:r>
      <w:bookmarkEnd w:id="178"/>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税种</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计税依据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增值税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以按税法规定计算的销售货物和应税劳务收入为基础计算销项税额，扣除当期允许抵扣的进项税额后，差额部分为应交增值税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6%、9%、13%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城市维护建设税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实际缴纳的流转税税额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企业所得税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应纳税所得额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25%、15%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房产税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从价计征的，按房产原值一次减除一定比例后余值的1.2%计缴；从租计征的，按租金收入的12%计缴；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教育费附加</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实际缴纳的流转税税额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地方教育附加</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实际缴纳的流转税税额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存在不同企业所得税税率纳税主体的，披露情况说明</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纳税主体名称</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所得税税率</w:t>
            </w:r>
          </w:p>
        </w:tc>
      </w:tr>
    </w:tbl>
    <w:p>
      <w:pPr>
        <w:keepNext/>
        <w:keepLines/>
        <w:spacing w:before="300" w:after="300" w:line="280" w:lineRule="exact"/>
        <w:jc w:val="left"/>
        <w:outlineLvl w:val="2"/>
        <w:rPr>
          <w:rFonts w:ascii="宋体" w:hAnsi="宋体" w:eastAsia="宋体" w:cs="宋体"/>
          <w:b/>
          <w:bCs/>
          <w:sz w:val="21"/>
          <w:szCs w:val="21"/>
        </w:rPr>
      </w:pPr>
      <w:bookmarkStart w:id="179" w:name="_Toc989068"/>
      <w:r>
        <w:rPr>
          <w:rFonts w:ascii="宋体" w:hAnsi="宋体" w:eastAsia="宋体" w:cs="宋体"/>
          <w:b/>
          <w:bCs/>
          <w:sz w:val="21"/>
          <w:szCs w:val="21"/>
        </w:rPr>
        <w:t>2、税收优惠</w:t>
      </w:r>
      <w:bookmarkEnd w:id="179"/>
    </w:p>
    <w:p>
      <w:pPr>
        <w:pStyle w:val="5"/>
        <w:keepNext w:val="0"/>
        <w:keepLines w:val="0"/>
        <w:widowControl/>
        <w:suppressLineNumbers w:val="0"/>
        <w:spacing w:before="300" w:beforeAutospacing="0" w:after="300" w:afterAutospacing="0" w:line="280" w:lineRule="atLeast"/>
        <w:ind w:left="0" w:right="0" w:firstLine="420"/>
        <w:jc w:val="left"/>
        <w:rPr>
          <w:rFonts w:hint="default" w:ascii="Times New Roman" w:hAnsi="Times New Roman" w:cs="Times New Roman"/>
          <w:sz w:val="21"/>
          <w:szCs w:val="21"/>
        </w:rPr>
      </w:pPr>
      <w:r>
        <w:rPr>
          <w:rFonts w:hint="default" w:ascii="Times New Roman" w:hAnsi="Times New Roman" w:eastAsia="宋体" w:cs="Times New Roman"/>
          <w:sz w:val="21"/>
          <w:szCs w:val="21"/>
        </w:rPr>
        <w:t>1. </w:t>
      </w:r>
      <w:r>
        <w:rPr>
          <w:rFonts w:hint="eastAsia" w:ascii="宋体" w:hAnsi="宋体" w:eastAsia="宋体" w:cs="宋体"/>
          <w:sz w:val="21"/>
          <w:szCs w:val="21"/>
        </w:rPr>
        <w:t>根据《中华人民共和国企业所得税法》第二十七条第（二）项、《企业所得税法实施条例》第八十七条及财政部、国家税务总局、国家发展和改革委员会发布的《公共基础设施项目企业所得税优惠目录（</w:t>
      </w:r>
      <w:r>
        <w:rPr>
          <w:rFonts w:hint="default" w:ascii="Times New Roman" w:hAnsi="Times New Roman" w:eastAsia="宋体" w:cs="Times New Roman"/>
          <w:sz w:val="21"/>
          <w:szCs w:val="21"/>
        </w:rPr>
        <w:t>2008</w:t>
      </w:r>
      <w:r>
        <w:rPr>
          <w:rFonts w:hint="eastAsia" w:ascii="宋体" w:hAnsi="宋体" w:eastAsia="宋体" w:cs="宋体"/>
          <w:sz w:val="21"/>
          <w:szCs w:val="21"/>
        </w:rPr>
        <w:t>）》财税〔</w:t>
      </w:r>
      <w:r>
        <w:rPr>
          <w:rFonts w:hint="default" w:ascii="Times New Roman" w:hAnsi="Times New Roman" w:eastAsia="宋体" w:cs="Times New Roman"/>
          <w:sz w:val="21"/>
          <w:szCs w:val="21"/>
        </w:rPr>
        <w:t>2008</w:t>
      </w:r>
      <w:r>
        <w:rPr>
          <w:rFonts w:hint="eastAsia" w:ascii="宋体" w:hAnsi="宋体" w:eastAsia="宋体" w:cs="宋体"/>
          <w:sz w:val="21"/>
          <w:szCs w:val="21"/>
        </w:rPr>
        <w:t>〕</w:t>
      </w:r>
      <w:r>
        <w:rPr>
          <w:rFonts w:hint="default" w:ascii="Times New Roman" w:hAnsi="Times New Roman" w:eastAsia="宋体" w:cs="Times New Roman"/>
          <w:sz w:val="21"/>
          <w:szCs w:val="21"/>
        </w:rPr>
        <w:t>116</w:t>
      </w:r>
      <w:r>
        <w:rPr>
          <w:rFonts w:hint="eastAsia" w:ascii="宋体" w:hAnsi="宋体" w:eastAsia="宋体" w:cs="宋体"/>
          <w:sz w:val="21"/>
          <w:szCs w:val="21"/>
        </w:rPr>
        <w:t>号文之规定，企业从事国家重点扶持的公共基础设施项目的投资经营的所得，自项目取得第一笔生产经营收入所属纳税年度起，第一年至第三年免征企业所得税，第四年至第六年减半征收企业所得税。电力属公共基础设施项目，本公司所属光伏发电企业、风力发电企业可享受上述优惠。</w:t>
      </w:r>
    </w:p>
    <w:p>
      <w:pPr>
        <w:pStyle w:val="5"/>
        <w:keepNext w:val="0"/>
        <w:keepLines w:val="0"/>
        <w:widowControl/>
        <w:suppressLineNumbers w:val="0"/>
        <w:spacing w:before="300" w:beforeAutospacing="0" w:after="300" w:afterAutospacing="0" w:line="280" w:lineRule="atLeast"/>
        <w:ind w:left="0" w:right="0" w:firstLine="420"/>
        <w:jc w:val="left"/>
        <w:rPr>
          <w:rFonts w:hint="default" w:ascii="Times New Roman" w:hAnsi="Times New Roman" w:cs="Times New Roman"/>
          <w:sz w:val="21"/>
          <w:szCs w:val="21"/>
        </w:rPr>
      </w:pPr>
      <w:r>
        <w:rPr>
          <w:rFonts w:hint="default" w:ascii="Times New Roman" w:hAnsi="Times New Roman" w:eastAsia="宋体" w:cs="Times New Roman"/>
          <w:sz w:val="21"/>
          <w:szCs w:val="21"/>
        </w:rPr>
        <w:t>2.</w:t>
      </w:r>
      <w:r>
        <w:rPr>
          <w:rFonts w:hint="eastAsia" w:ascii="宋体" w:hAnsi="宋体" w:eastAsia="宋体" w:cs="宋体"/>
          <w:sz w:val="21"/>
          <w:szCs w:val="21"/>
        </w:rPr>
        <w:t>本公司所属风力发电企业符合财政部、国家税务总局发布的《关于风力发电增值税政策的通知》（财税〔</w:t>
      </w:r>
      <w:r>
        <w:rPr>
          <w:rFonts w:hint="default" w:ascii="Times New Roman" w:hAnsi="Times New Roman" w:eastAsia="宋体" w:cs="Times New Roman"/>
          <w:sz w:val="21"/>
          <w:szCs w:val="21"/>
        </w:rPr>
        <w:t>2015</w:t>
      </w:r>
      <w:r>
        <w:rPr>
          <w:rFonts w:hint="eastAsia" w:ascii="宋体" w:hAnsi="宋体" w:eastAsia="宋体" w:cs="宋体"/>
          <w:sz w:val="21"/>
          <w:szCs w:val="21"/>
        </w:rPr>
        <w:t>〕</w:t>
      </w:r>
      <w:r>
        <w:rPr>
          <w:rFonts w:hint="default" w:ascii="Times New Roman" w:hAnsi="Times New Roman" w:eastAsia="宋体" w:cs="Times New Roman"/>
          <w:sz w:val="21"/>
          <w:szCs w:val="21"/>
        </w:rPr>
        <w:t>74</w:t>
      </w:r>
      <w:r>
        <w:rPr>
          <w:rFonts w:hint="eastAsia" w:ascii="宋体" w:hAnsi="宋体" w:eastAsia="宋体" w:cs="宋体"/>
          <w:sz w:val="21"/>
          <w:szCs w:val="21"/>
        </w:rPr>
        <w:t>号）有关规定，享受增值税即征即退</w:t>
      </w:r>
      <w:r>
        <w:rPr>
          <w:rFonts w:hint="default" w:ascii="Times New Roman" w:hAnsi="Times New Roman" w:eastAsia="宋体" w:cs="Times New Roman"/>
          <w:sz w:val="21"/>
          <w:szCs w:val="21"/>
        </w:rPr>
        <w:t>50%</w:t>
      </w:r>
      <w:r>
        <w:rPr>
          <w:rFonts w:hint="eastAsia" w:ascii="宋体" w:hAnsi="宋体" w:eastAsia="宋体" w:cs="宋体"/>
          <w:sz w:val="21"/>
          <w:szCs w:val="21"/>
        </w:rPr>
        <w:t xml:space="preserve">的优惠政策。 </w:t>
      </w:r>
    </w:p>
    <w:p>
      <w:pPr>
        <w:pStyle w:val="5"/>
        <w:keepNext w:val="0"/>
        <w:keepLines w:val="0"/>
        <w:widowControl/>
        <w:suppressLineNumbers w:val="0"/>
        <w:spacing w:before="300" w:beforeAutospacing="0" w:after="300" w:afterAutospacing="0" w:line="280" w:lineRule="atLeast"/>
        <w:ind w:left="0" w:right="0" w:firstLine="420"/>
        <w:jc w:val="left"/>
        <w:rPr>
          <w:rFonts w:hint="default" w:ascii="Times New Roman" w:hAnsi="Times New Roman" w:cs="Times New Roman"/>
          <w:sz w:val="21"/>
          <w:szCs w:val="21"/>
        </w:rPr>
      </w:pPr>
      <w:r>
        <w:rPr>
          <w:rFonts w:hint="default" w:ascii="Times New Roman" w:hAnsi="Times New Roman" w:eastAsia="宋体" w:cs="Times New Roman"/>
          <w:sz w:val="21"/>
          <w:szCs w:val="21"/>
        </w:rPr>
        <w:t>3.</w:t>
      </w:r>
      <w:r>
        <w:rPr>
          <w:rFonts w:hint="eastAsia" w:ascii="宋体" w:hAnsi="宋体" w:eastAsia="宋体" w:cs="宋体"/>
          <w:sz w:val="21"/>
          <w:szCs w:val="21"/>
        </w:rPr>
        <w:t>根据《财政部 税务总局 国家发展改革委关于延续西部大开发企业所得税政策的公告》（财政部公告</w:t>
      </w:r>
      <w:r>
        <w:rPr>
          <w:rFonts w:hint="default" w:ascii="Times New Roman" w:hAnsi="Times New Roman" w:eastAsia="宋体" w:cs="Times New Roman"/>
          <w:sz w:val="21"/>
          <w:szCs w:val="21"/>
        </w:rPr>
        <w:t>2020</w:t>
      </w:r>
      <w:r>
        <w:rPr>
          <w:rFonts w:hint="eastAsia" w:ascii="宋体" w:hAnsi="宋体" w:eastAsia="宋体" w:cs="宋体"/>
          <w:sz w:val="21"/>
          <w:szCs w:val="21"/>
        </w:rPr>
        <w:t>年第</w:t>
      </w:r>
      <w:r>
        <w:rPr>
          <w:rFonts w:hint="default" w:ascii="Times New Roman" w:hAnsi="Times New Roman" w:eastAsia="宋体" w:cs="Times New Roman"/>
          <w:sz w:val="21"/>
          <w:szCs w:val="21"/>
        </w:rPr>
        <w:t>23</w:t>
      </w:r>
      <w:r>
        <w:rPr>
          <w:rFonts w:hint="eastAsia" w:ascii="宋体" w:hAnsi="宋体" w:eastAsia="宋体" w:cs="宋体"/>
          <w:sz w:val="21"/>
          <w:szCs w:val="21"/>
        </w:rPr>
        <w:t>号）的相关规定，本公司部分子公司自</w:t>
      </w:r>
      <w:r>
        <w:rPr>
          <w:rFonts w:hint="default" w:ascii="Times New Roman" w:hAnsi="Times New Roman" w:eastAsia="宋体" w:cs="Times New Roman"/>
          <w:sz w:val="21"/>
          <w:szCs w:val="21"/>
        </w:rPr>
        <w:t>2021</w:t>
      </w:r>
      <w:r>
        <w:rPr>
          <w:rFonts w:hint="eastAsia" w:ascii="宋体" w:hAnsi="宋体" w:eastAsia="宋体" w:cs="宋体"/>
          <w:sz w:val="21"/>
          <w:szCs w:val="21"/>
        </w:rPr>
        <w:t>年</w:t>
      </w:r>
      <w:r>
        <w:rPr>
          <w:rFonts w:hint="default" w:ascii="Times New Roman" w:hAnsi="Times New Roman" w:eastAsia="宋体" w:cs="Times New Roman"/>
          <w:sz w:val="21"/>
          <w:szCs w:val="21"/>
        </w:rPr>
        <w:t>1</w:t>
      </w:r>
      <w:r>
        <w:rPr>
          <w:rFonts w:hint="eastAsia" w:ascii="宋体" w:hAnsi="宋体" w:eastAsia="宋体" w:cs="宋体"/>
          <w:sz w:val="21"/>
          <w:szCs w:val="21"/>
        </w:rPr>
        <w:t>月</w:t>
      </w:r>
      <w:r>
        <w:rPr>
          <w:rFonts w:hint="default" w:ascii="Times New Roman" w:hAnsi="Times New Roman" w:eastAsia="宋体" w:cs="Times New Roman"/>
          <w:sz w:val="21"/>
          <w:szCs w:val="21"/>
        </w:rPr>
        <w:t>1</w:t>
      </w:r>
      <w:r>
        <w:rPr>
          <w:rFonts w:hint="eastAsia" w:ascii="宋体" w:hAnsi="宋体" w:eastAsia="宋体" w:cs="宋体"/>
          <w:sz w:val="21"/>
          <w:szCs w:val="21"/>
        </w:rPr>
        <w:t>日至</w:t>
      </w:r>
      <w:r>
        <w:rPr>
          <w:rFonts w:hint="default" w:ascii="Times New Roman" w:hAnsi="Times New Roman" w:eastAsia="宋体" w:cs="Times New Roman"/>
          <w:sz w:val="21"/>
          <w:szCs w:val="21"/>
        </w:rPr>
        <w:t>2030</w:t>
      </w:r>
      <w:r>
        <w:rPr>
          <w:rFonts w:hint="eastAsia" w:ascii="宋体" w:hAnsi="宋体" w:eastAsia="宋体" w:cs="宋体"/>
          <w:sz w:val="21"/>
          <w:szCs w:val="21"/>
        </w:rPr>
        <w:t>年</w:t>
      </w:r>
      <w:r>
        <w:rPr>
          <w:rFonts w:hint="default" w:ascii="Times New Roman" w:hAnsi="Times New Roman" w:eastAsia="宋体" w:cs="Times New Roman"/>
          <w:sz w:val="21"/>
          <w:szCs w:val="21"/>
        </w:rPr>
        <w:t>12</w:t>
      </w:r>
      <w:r>
        <w:rPr>
          <w:rFonts w:hint="eastAsia" w:ascii="宋体" w:hAnsi="宋体" w:eastAsia="宋体" w:cs="宋体"/>
          <w:sz w:val="21"/>
          <w:szCs w:val="21"/>
        </w:rPr>
        <w:t>月</w:t>
      </w:r>
      <w:r>
        <w:rPr>
          <w:rFonts w:hint="default" w:ascii="Times New Roman" w:hAnsi="Times New Roman" w:eastAsia="宋体" w:cs="Times New Roman"/>
          <w:sz w:val="21"/>
          <w:szCs w:val="21"/>
        </w:rPr>
        <w:t>31</w:t>
      </w:r>
      <w:r>
        <w:rPr>
          <w:rFonts w:hint="eastAsia" w:ascii="宋体" w:hAnsi="宋体" w:eastAsia="宋体" w:cs="宋体"/>
          <w:sz w:val="21"/>
          <w:szCs w:val="21"/>
        </w:rPr>
        <w:t>日，享受企业所得税减按</w:t>
      </w:r>
      <w:r>
        <w:rPr>
          <w:rFonts w:hint="default" w:ascii="Times New Roman" w:hAnsi="Times New Roman" w:eastAsia="宋体" w:cs="Times New Roman"/>
          <w:sz w:val="21"/>
          <w:szCs w:val="21"/>
        </w:rPr>
        <w:t>15%</w:t>
      </w:r>
      <w:r>
        <w:rPr>
          <w:rFonts w:hint="eastAsia" w:ascii="宋体" w:hAnsi="宋体" w:eastAsia="宋体" w:cs="宋体"/>
          <w:sz w:val="21"/>
          <w:szCs w:val="21"/>
        </w:rPr>
        <w:t xml:space="preserve">征收的优惠。 </w:t>
      </w:r>
    </w:p>
    <w:p>
      <w:pPr>
        <w:pStyle w:val="5"/>
        <w:keepNext w:val="0"/>
        <w:keepLines w:val="0"/>
        <w:widowControl/>
        <w:suppressLineNumbers w:val="0"/>
        <w:spacing w:before="0" w:beforeAutospacing="0" w:after="0" w:afterAutospacing="0"/>
        <w:ind w:left="0" w:right="0" w:firstLine="420"/>
        <w:jc w:val="both"/>
        <w:rPr>
          <w:rFonts w:hint="default" w:ascii="Times New Roman" w:hAnsi="Times New Roman" w:cs="Times New Roman"/>
          <w:sz w:val="21"/>
          <w:szCs w:val="21"/>
        </w:rPr>
      </w:pPr>
      <w:r>
        <w:rPr>
          <w:rFonts w:hint="default" w:ascii="Times New Roman" w:hAnsi="Times New Roman" w:eastAsia="宋体" w:cs="Times New Roman"/>
          <w:sz w:val="21"/>
          <w:szCs w:val="21"/>
        </w:rPr>
        <w:t>4.</w:t>
      </w:r>
      <w:r>
        <w:rPr>
          <w:rFonts w:hint="eastAsia" w:ascii="宋体" w:hAnsi="宋体" w:eastAsia="宋体" w:cs="宋体"/>
          <w:sz w:val="21"/>
          <w:szCs w:val="21"/>
        </w:rPr>
        <w:t>根据《中华人民共和国企业所得税法》和《国家税务总局关于实施高新技术企业所得税优惠政策有关问题的公告》（国家税务总局公告</w:t>
      </w:r>
      <w:r>
        <w:rPr>
          <w:rFonts w:hint="default" w:ascii="Times New Roman" w:hAnsi="Times New Roman" w:eastAsia="宋体" w:cs="Times New Roman"/>
          <w:sz w:val="21"/>
          <w:szCs w:val="21"/>
        </w:rPr>
        <w:t>2017</w:t>
      </w:r>
      <w:r>
        <w:rPr>
          <w:rFonts w:hint="eastAsia" w:ascii="宋体" w:hAnsi="宋体" w:eastAsia="宋体" w:cs="宋体"/>
          <w:sz w:val="21"/>
          <w:szCs w:val="21"/>
        </w:rPr>
        <w:t>年第</w:t>
      </w:r>
      <w:r>
        <w:rPr>
          <w:rFonts w:hint="default" w:ascii="Times New Roman" w:hAnsi="Times New Roman" w:eastAsia="宋体" w:cs="Times New Roman"/>
          <w:sz w:val="21"/>
          <w:szCs w:val="21"/>
        </w:rPr>
        <w:t>24</w:t>
      </w:r>
      <w:r>
        <w:rPr>
          <w:rFonts w:hint="eastAsia" w:ascii="宋体" w:hAnsi="宋体" w:eastAsia="宋体" w:cs="宋体"/>
          <w:sz w:val="21"/>
          <w:szCs w:val="21"/>
        </w:rPr>
        <w:t>号），企业获得高新技术企业资格后，自高新技术企业证书注明的发证时间所在年度起申报享受税收优惠，减按</w:t>
      </w:r>
      <w:r>
        <w:rPr>
          <w:rFonts w:hint="default" w:ascii="Times New Roman" w:hAnsi="Times New Roman" w:eastAsia="宋体" w:cs="Times New Roman"/>
          <w:sz w:val="21"/>
          <w:szCs w:val="21"/>
        </w:rPr>
        <w:t>15</w:t>
      </w:r>
      <w:r>
        <w:rPr>
          <w:rFonts w:hint="eastAsia" w:ascii="宋体" w:hAnsi="宋体" w:eastAsia="宋体" w:cs="宋体"/>
          <w:sz w:val="21"/>
          <w:szCs w:val="21"/>
        </w:rPr>
        <w:t>％的税率征收企业所得税，公司所管共有</w:t>
      </w:r>
      <w:r>
        <w:rPr>
          <w:rFonts w:hint="default" w:ascii="Times New Roman" w:hAnsi="Times New Roman" w:eastAsia="宋体" w:cs="Times New Roman"/>
          <w:sz w:val="21"/>
          <w:szCs w:val="21"/>
        </w:rPr>
        <w:t>11</w:t>
      </w:r>
      <w:r>
        <w:rPr>
          <w:rFonts w:hint="eastAsia" w:ascii="宋体" w:hAnsi="宋体" w:eastAsia="宋体" w:cs="宋体"/>
          <w:sz w:val="21"/>
          <w:szCs w:val="21"/>
        </w:rPr>
        <w:t>家高新技术企业，具体情况如下：</w:t>
      </w:r>
    </w:p>
    <w:tbl>
      <w:tblPr>
        <w:tblStyle w:val="6"/>
        <w:tblW w:w="9845" w:type="dxa"/>
        <w:jc w:val="center"/>
        <w:tblInd w:w="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3335"/>
        <w:gridCol w:w="2248"/>
        <w:gridCol w:w="2318"/>
        <w:gridCol w:w="194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jc w:val="center"/>
        </w:trPr>
        <w:tc>
          <w:tcPr>
            <w:tcW w:w="3335" w:type="dxa"/>
            <w:tcBorders>
              <w:top w:val="single" w:color="auto" w:sz="8" w:space="0"/>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Style w:val="8"/>
                <w:rFonts w:hint="eastAsia" w:ascii="宋体" w:hAnsi="宋体" w:eastAsia="宋体" w:cs="宋体"/>
                <w:b/>
                <w:sz w:val="18"/>
                <w:szCs w:val="18"/>
              </w:rPr>
              <w:t>公司名称</w:t>
            </w:r>
          </w:p>
        </w:tc>
        <w:tc>
          <w:tcPr>
            <w:tcW w:w="2248" w:type="dxa"/>
            <w:tcBorders>
              <w:top w:val="single" w:color="auto" w:sz="8" w:space="0"/>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Style w:val="8"/>
                <w:rFonts w:hint="eastAsia" w:ascii="宋体" w:hAnsi="宋体" w:eastAsia="宋体" w:cs="宋体"/>
                <w:b/>
                <w:sz w:val="18"/>
                <w:szCs w:val="18"/>
              </w:rPr>
              <w:t>高新技术企业证书编号</w:t>
            </w:r>
          </w:p>
        </w:tc>
        <w:tc>
          <w:tcPr>
            <w:tcW w:w="2318" w:type="dxa"/>
            <w:tcBorders>
              <w:top w:val="single" w:color="auto" w:sz="8" w:space="0"/>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Style w:val="8"/>
                <w:rFonts w:hint="eastAsia" w:ascii="宋体" w:hAnsi="宋体" w:eastAsia="宋体" w:cs="宋体"/>
                <w:b/>
                <w:sz w:val="18"/>
                <w:szCs w:val="18"/>
              </w:rPr>
              <w:t>税收优惠期间</w:t>
            </w:r>
          </w:p>
        </w:tc>
        <w:tc>
          <w:tcPr>
            <w:tcW w:w="1944" w:type="dxa"/>
            <w:tcBorders>
              <w:top w:val="single" w:color="auto" w:sz="8" w:space="0"/>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Style w:val="8"/>
                <w:rFonts w:hint="eastAsia" w:ascii="宋体" w:hAnsi="宋体" w:eastAsia="宋体" w:cs="宋体"/>
                <w:b/>
                <w:sz w:val="18"/>
                <w:szCs w:val="18"/>
              </w:rPr>
              <w:t>适用税率（%）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jc w:val="center"/>
        </w:trPr>
        <w:tc>
          <w:tcPr>
            <w:tcW w:w="3335"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吉电（滁州）章广风力发电有限公司</w:t>
            </w:r>
          </w:p>
        </w:tc>
        <w:tc>
          <w:tcPr>
            <w:tcW w:w="224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GR202234004785</w:t>
            </w:r>
          </w:p>
        </w:tc>
        <w:tc>
          <w:tcPr>
            <w:tcW w:w="231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2022年度至2024年度</w:t>
            </w:r>
          </w:p>
        </w:tc>
        <w:tc>
          <w:tcPr>
            <w:tcW w:w="1944"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jc w:val="center"/>
        </w:trPr>
        <w:tc>
          <w:tcPr>
            <w:tcW w:w="3335"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陕西定边清洁能源发电有限公司</w:t>
            </w:r>
          </w:p>
        </w:tc>
        <w:tc>
          <w:tcPr>
            <w:tcW w:w="224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GR202261003434</w:t>
            </w:r>
          </w:p>
        </w:tc>
        <w:tc>
          <w:tcPr>
            <w:tcW w:w="231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2022年度至2024年度</w:t>
            </w:r>
          </w:p>
        </w:tc>
        <w:tc>
          <w:tcPr>
            <w:tcW w:w="1944"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jc w:val="center"/>
        </w:trPr>
        <w:tc>
          <w:tcPr>
            <w:tcW w:w="3335"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镇赉华兴风力发电有限公司</w:t>
            </w:r>
          </w:p>
        </w:tc>
        <w:tc>
          <w:tcPr>
            <w:tcW w:w="224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GR202222000866</w:t>
            </w:r>
          </w:p>
        </w:tc>
        <w:tc>
          <w:tcPr>
            <w:tcW w:w="231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2022年度至2024年度</w:t>
            </w:r>
          </w:p>
        </w:tc>
        <w:tc>
          <w:tcPr>
            <w:tcW w:w="1944"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jc w:val="center"/>
        </w:trPr>
        <w:tc>
          <w:tcPr>
            <w:tcW w:w="3335"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蒙东协合镇赉第一风力发电有限公司</w:t>
            </w:r>
          </w:p>
        </w:tc>
        <w:tc>
          <w:tcPr>
            <w:tcW w:w="224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GR202222000306</w:t>
            </w:r>
          </w:p>
        </w:tc>
        <w:tc>
          <w:tcPr>
            <w:tcW w:w="231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2022年度至2024年度</w:t>
            </w:r>
          </w:p>
        </w:tc>
        <w:tc>
          <w:tcPr>
            <w:tcW w:w="1944"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jc w:val="center"/>
        </w:trPr>
        <w:tc>
          <w:tcPr>
            <w:tcW w:w="3335"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蒙东协合镇赉第二风力发电有限公司</w:t>
            </w:r>
          </w:p>
        </w:tc>
        <w:tc>
          <w:tcPr>
            <w:tcW w:w="224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GR202222000066</w:t>
            </w:r>
          </w:p>
        </w:tc>
        <w:tc>
          <w:tcPr>
            <w:tcW w:w="231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2022年度至2024年度</w:t>
            </w:r>
          </w:p>
        </w:tc>
        <w:tc>
          <w:tcPr>
            <w:tcW w:w="1944"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jc w:val="center"/>
        </w:trPr>
        <w:tc>
          <w:tcPr>
            <w:tcW w:w="3335"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长春吉电能源科技有限公司</w:t>
            </w:r>
          </w:p>
        </w:tc>
        <w:tc>
          <w:tcPr>
            <w:tcW w:w="224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GR202222000672</w:t>
            </w:r>
          </w:p>
        </w:tc>
        <w:tc>
          <w:tcPr>
            <w:tcW w:w="231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2022年度至2024年度</w:t>
            </w:r>
          </w:p>
        </w:tc>
        <w:tc>
          <w:tcPr>
            <w:tcW w:w="1944"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jc w:val="center"/>
        </w:trPr>
        <w:tc>
          <w:tcPr>
            <w:tcW w:w="3335"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张北能环新能源有限公司</w:t>
            </w:r>
          </w:p>
        </w:tc>
        <w:tc>
          <w:tcPr>
            <w:tcW w:w="224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GR202213004852</w:t>
            </w:r>
          </w:p>
        </w:tc>
        <w:tc>
          <w:tcPr>
            <w:tcW w:w="231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2022年度至2024年度</w:t>
            </w:r>
          </w:p>
        </w:tc>
        <w:tc>
          <w:tcPr>
            <w:tcW w:w="1944"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jc w:val="center"/>
        </w:trPr>
        <w:tc>
          <w:tcPr>
            <w:tcW w:w="3335"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张北禾润能源有限公司</w:t>
            </w:r>
          </w:p>
        </w:tc>
        <w:tc>
          <w:tcPr>
            <w:tcW w:w="224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GR202313002985</w:t>
            </w:r>
          </w:p>
        </w:tc>
        <w:tc>
          <w:tcPr>
            <w:tcW w:w="231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2023年度至2025年度</w:t>
            </w:r>
          </w:p>
        </w:tc>
        <w:tc>
          <w:tcPr>
            <w:tcW w:w="1944"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jc w:val="center"/>
        </w:trPr>
        <w:tc>
          <w:tcPr>
            <w:tcW w:w="3335"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延安吉电新能源有限公司</w:t>
            </w:r>
          </w:p>
        </w:tc>
        <w:tc>
          <w:tcPr>
            <w:tcW w:w="224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GR202361006623</w:t>
            </w:r>
          </w:p>
        </w:tc>
        <w:tc>
          <w:tcPr>
            <w:tcW w:w="231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2023年度至2025年度</w:t>
            </w:r>
          </w:p>
        </w:tc>
        <w:tc>
          <w:tcPr>
            <w:tcW w:w="1944"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jc w:val="center"/>
        </w:trPr>
        <w:tc>
          <w:tcPr>
            <w:tcW w:w="3335"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吉林省吉电配售电有限公司</w:t>
            </w:r>
          </w:p>
        </w:tc>
        <w:tc>
          <w:tcPr>
            <w:tcW w:w="224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GR202322000036</w:t>
            </w:r>
          </w:p>
        </w:tc>
        <w:tc>
          <w:tcPr>
            <w:tcW w:w="231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2023年度至2025年度</w:t>
            </w:r>
          </w:p>
        </w:tc>
        <w:tc>
          <w:tcPr>
            <w:tcW w:w="1944"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jc w:val="center"/>
        </w:trPr>
        <w:tc>
          <w:tcPr>
            <w:tcW w:w="3335"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江西中电投新能源发电有限公司</w:t>
            </w:r>
          </w:p>
        </w:tc>
        <w:tc>
          <w:tcPr>
            <w:tcW w:w="224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GR202336000083</w:t>
            </w:r>
          </w:p>
        </w:tc>
        <w:tc>
          <w:tcPr>
            <w:tcW w:w="231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2023年度至2025年度</w:t>
            </w:r>
          </w:p>
        </w:tc>
        <w:tc>
          <w:tcPr>
            <w:tcW w:w="1944"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15.00</w:t>
            </w:r>
          </w:p>
        </w:tc>
      </w:tr>
    </w:tbl>
    <w:p>
      <w:pPr>
        <w:pStyle w:val="5"/>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宋体" w:hAnsi="宋体" w:eastAsia="宋体" w:cs="宋体"/>
          <w:sz w:val="18"/>
          <w:szCs w:val="18"/>
        </w:rPr>
        <w:t> </w:t>
      </w:r>
    </w:p>
    <w:p>
      <w:pPr>
        <w:pStyle w:val="5"/>
        <w:keepNext w:val="0"/>
        <w:keepLines w:val="0"/>
        <w:widowControl/>
        <w:suppressLineNumbers w:val="0"/>
        <w:spacing w:before="0" w:beforeAutospacing="0" w:after="0" w:afterAutospacing="0" w:line="440" w:lineRule="atLeast"/>
        <w:ind w:left="0" w:right="0" w:firstLine="420"/>
        <w:jc w:val="both"/>
        <w:rPr>
          <w:rFonts w:hint="default" w:ascii="Times New Roman" w:hAnsi="Times New Roman" w:cs="Times New Roman"/>
          <w:sz w:val="24"/>
          <w:szCs w:val="24"/>
        </w:rPr>
      </w:pPr>
      <w:r>
        <w:rPr>
          <w:rFonts w:hint="eastAsia" w:ascii="宋体" w:hAnsi="宋体" w:eastAsia="宋体" w:cs="宋体"/>
          <w:sz w:val="21"/>
          <w:szCs w:val="21"/>
        </w:rPr>
        <w:t>5.本公司所属综合智慧能源企业综合利用资源产生的收入，根据《财政部 税务总局关于执行资源综合利用企业所得税优惠目录有关问题的通知》（财税〔</w:t>
      </w:r>
      <w:r>
        <w:rPr>
          <w:rFonts w:hint="default" w:ascii="Times New Roman" w:hAnsi="Times New Roman" w:eastAsia="宋体" w:cs="Times New Roman"/>
          <w:sz w:val="21"/>
          <w:szCs w:val="21"/>
        </w:rPr>
        <w:t>2008</w:t>
      </w:r>
      <w:r>
        <w:rPr>
          <w:rFonts w:hint="eastAsia" w:ascii="宋体" w:hAnsi="宋体" w:eastAsia="宋体" w:cs="宋体"/>
          <w:sz w:val="21"/>
          <w:szCs w:val="21"/>
        </w:rPr>
        <w:t>〕</w:t>
      </w:r>
      <w:r>
        <w:rPr>
          <w:rFonts w:hint="default" w:ascii="Times New Roman" w:hAnsi="Times New Roman" w:eastAsia="宋体" w:cs="Times New Roman"/>
          <w:sz w:val="21"/>
          <w:szCs w:val="21"/>
        </w:rPr>
        <w:t>47</w:t>
      </w:r>
      <w:r>
        <w:rPr>
          <w:rFonts w:hint="eastAsia" w:ascii="宋体" w:hAnsi="宋体" w:eastAsia="宋体" w:cs="宋体"/>
          <w:sz w:val="21"/>
          <w:szCs w:val="21"/>
        </w:rPr>
        <w:t>号），在计算应纳税所得额时，减按</w:t>
      </w:r>
      <w:r>
        <w:rPr>
          <w:rFonts w:hint="default" w:ascii="Times New Roman" w:hAnsi="Times New Roman" w:eastAsia="宋体" w:cs="Times New Roman"/>
          <w:sz w:val="21"/>
          <w:szCs w:val="21"/>
        </w:rPr>
        <w:t>90%</w:t>
      </w:r>
      <w:r>
        <w:rPr>
          <w:rFonts w:hint="eastAsia" w:ascii="宋体" w:hAnsi="宋体" w:eastAsia="宋体" w:cs="宋体"/>
          <w:sz w:val="21"/>
          <w:szCs w:val="21"/>
        </w:rPr>
        <w:t>计入当年收入总额。</w:t>
      </w:r>
    </w:p>
    <w:p>
      <w:pPr>
        <w:pStyle w:val="5"/>
        <w:keepNext w:val="0"/>
        <w:keepLines w:val="0"/>
        <w:widowControl/>
        <w:suppressLineNumbers w:val="0"/>
        <w:spacing w:before="0" w:beforeAutospacing="0" w:after="0" w:afterAutospacing="0" w:line="440" w:lineRule="atLeast"/>
        <w:ind w:left="0" w:right="0" w:firstLine="420"/>
        <w:jc w:val="both"/>
        <w:rPr>
          <w:rFonts w:hint="default" w:ascii="Times New Roman" w:hAnsi="Times New Roman" w:cs="Times New Roman"/>
          <w:sz w:val="24"/>
          <w:szCs w:val="24"/>
        </w:rPr>
      </w:pPr>
      <w:r>
        <w:rPr>
          <w:rFonts w:hint="default" w:ascii="Times New Roman" w:hAnsi="Times New Roman" w:eastAsia="宋体" w:cs="Times New Roman"/>
          <w:sz w:val="21"/>
          <w:szCs w:val="21"/>
        </w:rPr>
        <w:t xml:space="preserve">6. </w:t>
      </w:r>
      <w:r>
        <w:rPr>
          <w:rFonts w:hint="eastAsia" w:ascii="宋体" w:hAnsi="宋体" w:eastAsia="宋体" w:cs="宋体"/>
          <w:sz w:val="21"/>
          <w:szCs w:val="21"/>
        </w:rPr>
        <w:t>根据《财政部 国家税务总局关于延续供热企业增值税 房产税 城镇土地使用税优惠政策的通知》（财税〔</w:t>
      </w:r>
      <w:r>
        <w:rPr>
          <w:rFonts w:hint="default" w:ascii="Times New Roman" w:hAnsi="Times New Roman" w:eastAsia="宋体" w:cs="Times New Roman"/>
          <w:sz w:val="21"/>
          <w:szCs w:val="21"/>
        </w:rPr>
        <w:t>2019</w:t>
      </w:r>
      <w:r>
        <w:rPr>
          <w:rFonts w:hint="eastAsia" w:ascii="宋体" w:hAnsi="宋体" w:eastAsia="宋体" w:cs="宋体"/>
          <w:sz w:val="21"/>
          <w:szCs w:val="21"/>
        </w:rPr>
        <w:t>〕</w:t>
      </w:r>
      <w:r>
        <w:rPr>
          <w:rFonts w:hint="default" w:ascii="Times New Roman" w:hAnsi="Times New Roman" w:eastAsia="宋体" w:cs="Times New Roman"/>
          <w:sz w:val="21"/>
          <w:szCs w:val="21"/>
        </w:rPr>
        <w:t>38</w:t>
      </w:r>
      <w:r>
        <w:rPr>
          <w:rFonts w:hint="eastAsia" w:ascii="宋体" w:hAnsi="宋体" w:eastAsia="宋体" w:cs="宋体"/>
          <w:sz w:val="21"/>
          <w:szCs w:val="21"/>
        </w:rPr>
        <w:t>号）和《财政部 税务总局关于延长部分税收优惠政策执行期限的公告》（财政部 税务总局公告</w:t>
      </w:r>
      <w:r>
        <w:rPr>
          <w:rFonts w:hint="default" w:ascii="Times New Roman" w:hAnsi="Times New Roman" w:eastAsia="宋体" w:cs="Times New Roman"/>
          <w:sz w:val="21"/>
          <w:szCs w:val="21"/>
        </w:rPr>
        <w:t>2021</w:t>
      </w:r>
      <w:r>
        <w:rPr>
          <w:rFonts w:hint="eastAsia" w:ascii="宋体" w:hAnsi="宋体" w:eastAsia="宋体" w:cs="宋体"/>
          <w:sz w:val="21"/>
          <w:szCs w:val="21"/>
        </w:rPr>
        <w:t>年第</w:t>
      </w:r>
      <w:r>
        <w:rPr>
          <w:rFonts w:hint="default" w:ascii="Times New Roman" w:hAnsi="Times New Roman" w:eastAsia="宋体" w:cs="Times New Roman"/>
          <w:sz w:val="21"/>
          <w:szCs w:val="21"/>
        </w:rPr>
        <w:t>6</w:t>
      </w:r>
      <w:r>
        <w:rPr>
          <w:rFonts w:hint="eastAsia" w:ascii="宋体" w:hAnsi="宋体" w:eastAsia="宋体" w:cs="宋体"/>
          <w:sz w:val="21"/>
          <w:szCs w:val="21"/>
        </w:rPr>
        <w:t>号）和《财政部 税务总局关于延续实施供热企业有关税收政策的公告》（财政部 税务总局公告</w:t>
      </w:r>
      <w:r>
        <w:rPr>
          <w:rFonts w:hint="default" w:ascii="Times New Roman" w:hAnsi="Times New Roman" w:eastAsia="宋体" w:cs="Times New Roman"/>
          <w:sz w:val="21"/>
          <w:szCs w:val="21"/>
        </w:rPr>
        <w:t>2023</w:t>
      </w:r>
      <w:r>
        <w:rPr>
          <w:rFonts w:hint="eastAsia" w:ascii="宋体" w:hAnsi="宋体" w:eastAsia="宋体" w:cs="宋体"/>
          <w:sz w:val="21"/>
          <w:szCs w:val="21"/>
        </w:rPr>
        <w:t>年第</w:t>
      </w:r>
      <w:r>
        <w:rPr>
          <w:rFonts w:hint="default" w:ascii="Times New Roman" w:hAnsi="Times New Roman" w:eastAsia="宋体" w:cs="Times New Roman"/>
          <w:sz w:val="21"/>
          <w:szCs w:val="21"/>
        </w:rPr>
        <w:t>56</w:t>
      </w:r>
      <w:r>
        <w:rPr>
          <w:rFonts w:hint="eastAsia" w:ascii="宋体" w:hAnsi="宋体" w:eastAsia="宋体" w:cs="宋体"/>
          <w:sz w:val="21"/>
          <w:szCs w:val="21"/>
        </w:rPr>
        <w:t>号），本公司及所属供热企业向居民个人供热取得的采暖费收入免征增值税，为居民供热所使用的厂房及土地免征房产税、城镇土地使用税。</w:t>
      </w:r>
    </w:p>
    <w:p>
      <w:pPr>
        <w:pStyle w:val="5"/>
        <w:keepNext w:val="0"/>
        <w:keepLines w:val="0"/>
        <w:widowControl/>
        <w:suppressLineNumbers w:val="0"/>
        <w:spacing w:before="0" w:beforeAutospacing="0" w:after="0" w:afterAutospacing="0" w:line="440" w:lineRule="atLeast"/>
        <w:ind w:left="0" w:right="0" w:firstLine="420"/>
        <w:jc w:val="both"/>
        <w:rPr>
          <w:rFonts w:hint="default" w:ascii="Times New Roman" w:hAnsi="Times New Roman" w:cs="Times New Roman"/>
          <w:sz w:val="24"/>
          <w:szCs w:val="24"/>
        </w:rPr>
      </w:pPr>
      <w:r>
        <w:rPr>
          <w:rFonts w:hint="default" w:ascii="Times New Roman" w:hAnsi="Times New Roman" w:eastAsia="宋体" w:cs="Times New Roman"/>
          <w:sz w:val="21"/>
          <w:szCs w:val="21"/>
        </w:rPr>
        <w:t xml:space="preserve">7. </w:t>
      </w:r>
      <w:r>
        <w:rPr>
          <w:rFonts w:hint="eastAsia" w:ascii="宋体" w:hAnsi="宋体" w:eastAsia="宋体" w:cs="宋体"/>
          <w:sz w:val="21"/>
          <w:szCs w:val="21"/>
        </w:rPr>
        <w:t>根据《财政部 国家税务总局关于促进节能服务产业发展增值税、营业税和企业所得税政策问题的通知》</w:t>
      </w:r>
      <w:r>
        <w:rPr>
          <w:rFonts w:hint="default" w:ascii="Times New Roman" w:hAnsi="Times New Roman" w:eastAsia="宋体" w:cs="Times New Roman"/>
          <w:sz w:val="21"/>
          <w:szCs w:val="21"/>
        </w:rPr>
        <w:t>(</w:t>
      </w:r>
      <w:r>
        <w:rPr>
          <w:rFonts w:hint="eastAsia" w:ascii="宋体" w:hAnsi="宋体" w:eastAsia="宋体" w:cs="宋体"/>
          <w:sz w:val="21"/>
          <w:szCs w:val="21"/>
        </w:rPr>
        <w:t>财税〔</w:t>
      </w:r>
      <w:r>
        <w:rPr>
          <w:rFonts w:hint="default" w:ascii="Times New Roman" w:hAnsi="Times New Roman" w:eastAsia="宋体" w:cs="Times New Roman"/>
          <w:sz w:val="21"/>
          <w:szCs w:val="21"/>
        </w:rPr>
        <w:t>2010</w:t>
      </w:r>
      <w:r>
        <w:rPr>
          <w:rFonts w:hint="eastAsia" w:ascii="宋体" w:hAnsi="宋体" w:eastAsia="宋体" w:cs="宋体"/>
          <w:sz w:val="21"/>
          <w:szCs w:val="21"/>
        </w:rPr>
        <w:t>〕</w:t>
      </w:r>
      <w:r>
        <w:rPr>
          <w:rFonts w:hint="default" w:ascii="Times New Roman" w:hAnsi="Times New Roman" w:eastAsia="宋体" w:cs="Times New Roman"/>
          <w:sz w:val="21"/>
          <w:szCs w:val="21"/>
        </w:rPr>
        <w:t>110</w:t>
      </w:r>
      <w:r>
        <w:rPr>
          <w:rFonts w:hint="eastAsia" w:ascii="宋体" w:hAnsi="宋体" w:eastAsia="宋体" w:cs="宋体"/>
          <w:sz w:val="21"/>
          <w:szCs w:val="21"/>
        </w:rPr>
        <w:t>号</w:t>
      </w:r>
      <w:r>
        <w:rPr>
          <w:rFonts w:hint="default" w:ascii="Times New Roman" w:hAnsi="Times New Roman" w:eastAsia="宋体" w:cs="Times New Roman"/>
          <w:sz w:val="21"/>
          <w:szCs w:val="21"/>
        </w:rPr>
        <w:t>)</w:t>
      </w:r>
      <w:r>
        <w:rPr>
          <w:rFonts w:hint="eastAsia" w:ascii="宋体" w:hAnsi="宋体" w:eastAsia="宋体" w:cs="宋体"/>
          <w:sz w:val="21"/>
          <w:szCs w:val="21"/>
        </w:rPr>
        <w:t>和《国家税务总局 国家发展改革委关于落实节能服务企业合同能源管理项目企业所得税优惠政策有关征收管理问题的公告》（国家税务总局 国家发展改革委公告</w:t>
      </w:r>
      <w:r>
        <w:rPr>
          <w:rFonts w:hint="default" w:ascii="Times New Roman" w:hAnsi="Times New Roman" w:eastAsia="宋体" w:cs="Times New Roman"/>
          <w:sz w:val="21"/>
          <w:szCs w:val="21"/>
        </w:rPr>
        <w:t>2013</w:t>
      </w:r>
      <w:r>
        <w:rPr>
          <w:rFonts w:hint="eastAsia" w:ascii="宋体" w:hAnsi="宋体" w:eastAsia="宋体" w:cs="宋体"/>
          <w:sz w:val="21"/>
          <w:szCs w:val="21"/>
        </w:rPr>
        <w:t>年第</w:t>
      </w:r>
      <w:r>
        <w:rPr>
          <w:rFonts w:hint="default" w:ascii="Times New Roman" w:hAnsi="Times New Roman" w:eastAsia="宋体" w:cs="Times New Roman"/>
          <w:sz w:val="21"/>
          <w:szCs w:val="21"/>
        </w:rPr>
        <w:t>77</w:t>
      </w:r>
      <w:r>
        <w:rPr>
          <w:rFonts w:hint="eastAsia" w:ascii="宋体" w:hAnsi="宋体" w:eastAsia="宋体" w:cs="宋体"/>
          <w:sz w:val="21"/>
          <w:szCs w:val="21"/>
        </w:rPr>
        <w:t>号）规定，对符合条件的节能服务公司实施合同能源管理项目，符合企业所得税税法有关规定的，自项目取得第一笔生产经营收入所属纳税年度起，第一年至第三年免征企业所得税，第四年至第六年按照</w:t>
      </w:r>
      <w:r>
        <w:rPr>
          <w:rFonts w:hint="default" w:ascii="Times New Roman" w:hAnsi="Times New Roman" w:eastAsia="宋体" w:cs="Times New Roman"/>
          <w:sz w:val="21"/>
          <w:szCs w:val="21"/>
        </w:rPr>
        <w:t>25%</w:t>
      </w:r>
      <w:r>
        <w:rPr>
          <w:rFonts w:hint="eastAsia" w:ascii="宋体" w:hAnsi="宋体" w:eastAsia="宋体" w:cs="宋体"/>
          <w:sz w:val="21"/>
          <w:szCs w:val="21"/>
        </w:rPr>
        <w:t>的法定税率减半征收企业所得税。本公司所属部分公司从事节能服务取得收入享受上述优惠。</w:t>
      </w:r>
    </w:p>
    <w:p>
      <w:pPr>
        <w:keepNext/>
        <w:keepLines/>
        <w:spacing w:before="300" w:after="300" w:line="280" w:lineRule="exact"/>
        <w:jc w:val="left"/>
        <w:outlineLvl w:val="2"/>
        <w:rPr>
          <w:rFonts w:ascii="宋体" w:hAnsi="宋体" w:eastAsia="宋体" w:cs="宋体"/>
          <w:b/>
          <w:bCs/>
          <w:sz w:val="21"/>
          <w:szCs w:val="21"/>
        </w:rPr>
      </w:pPr>
      <w:bookmarkStart w:id="180" w:name="_Toc989069"/>
      <w:r>
        <w:rPr>
          <w:rFonts w:ascii="宋体" w:hAnsi="宋体" w:eastAsia="宋体" w:cs="宋体"/>
          <w:b/>
          <w:bCs/>
          <w:sz w:val="21"/>
          <w:szCs w:val="21"/>
        </w:rPr>
        <w:t>3、其他</w:t>
      </w:r>
      <w:bookmarkEnd w:id="180"/>
    </w:p>
    <w:p>
      <w:pPr>
        <w:keepNext/>
        <w:keepLines/>
        <w:spacing w:before="300" w:after="300" w:line="320" w:lineRule="exact"/>
        <w:jc w:val="left"/>
        <w:outlineLvl w:val="1"/>
        <w:rPr>
          <w:rFonts w:ascii="宋体" w:hAnsi="宋体" w:eastAsia="宋体" w:cs="宋体"/>
          <w:b/>
          <w:bCs/>
          <w:sz w:val="24"/>
          <w:szCs w:val="24"/>
        </w:rPr>
      </w:pPr>
      <w:bookmarkStart w:id="181" w:name="_Toc989070"/>
      <w:r>
        <w:rPr>
          <w:rFonts w:ascii="宋体" w:hAnsi="宋体" w:eastAsia="宋体" w:cs="宋体"/>
          <w:b/>
          <w:bCs/>
          <w:sz w:val="24"/>
          <w:szCs w:val="24"/>
        </w:rPr>
        <w:t>七、合并财务报表项目注释</w:t>
      </w:r>
      <w:bookmarkEnd w:id="181"/>
    </w:p>
    <w:p>
      <w:pPr>
        <w:keepNext/>
        <w:keepLines/>
        <w:spacing w:before="300" w:after="300" w:line="280" w:lineRule="exact"/>
        <w:jc w:val="left"/>
        <w:outlineLvl w:val="2"/>
        <w:rPr>
          <w:rFonts w:ascii="宋体" w:hAnsi="宋体" w:eastAsia="宋体" w:cs="宋体"/>
          <w:b/>
          <w:bCs/>
          <w:sz w:val="21"/>
          <w:szCs w:val="21"/>
        </w:rPr>
      </w:pPr>
      <w:bookmarkStart w:id="182" w:name="_Toc989071"/>
      <w:r>
        <w:rPr>
          <w:rFonts w:ascii="宋体" w:hAnsi="宋体" w:eastAsia="宋体" w:cs="宋体"/>
          <w:b/>
          <w:bCs/>
          <w:sz w:val="21"/>
          <w:szCs w:val="21"/>
        </w:rPr>
        <w:t>1、货币资金</w:t>
      </w:r>
      <w:bookmarkEnd w:id="18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银行存款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1,350,253,977.25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1,038,736,055.24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其他货币资金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49,329,713.42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60,769,251.65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1,399,583,690.67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1,099,505,306.89</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183" w:name="_Toc989072"/>
      <w:r>
        <w:rPr>
          <w:rFonts w:ascii="宋体" w:hAnsi="宋体" w:eastAsia="宋体" w:cs="宋体"/>
          <w:b/>
          <w:bCs/>
          <w:sz w:val="21"/>
          <w:szCs w:val="21"/>
        </w:rPr>
        <w:t>2、交易性金融资产</w:t>
      </w:r>
      <w:bookmarkEnd w:id="18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以公允价值计量且其变动计入当期损益的金融资产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权益工具投资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184" w:name="_Toc989073"/>
      <w:r>
        <w:rPr>
          <w:rFonts w:ascii="宋体" w:hAnsi="宋体" w:eastAsia="宋体" w:cs="宋体"/>
          <w:b/>
          <w:bCs/>
          <w:sz w:val="21"/>
          <w:szCs w:val="21"/>
        </w:rPr>
        <w:t>3、衍生金融资产</w:t>
      </w:r>
      <w:bookmarkEnd w:id="18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185" w:name="_Toc989074"/>
      <w:r>
        <w:rPr>
          <w:rFonts w:ascii="宋体" w:hAnsi="宋体" w:eastAsia="宋体" w:cs="宋体"/>
          <w:b/>
          <w:bCs/>
          <w:sz w:val="21"/>
          <w:szCs w:val="21"/>
        </w:rPr>
        <w:t>4、应收票据</w:t>
      </w:r>
      <w:bookmarkEnd w:id="185"/>
    </w:p>
    <w:p>
      <w:pPr>
        <w:keepNext/>
        <w:keepLines/>
        <w:spacing w:before="300" w:after="300" w:line="280" w:lineRule="exact"/>
        <w:jc w:val="left"/>
        <w:outlineLvl w:val="3"/>
        <w:rPr>
          <w:rFonts w:ascii="宋体" w:hAnsi="宋体" w:eastAsia="宋体" w:cs="宋体"/>
          <w:b/>
          <w:bCs/>
          <w:sz w:val="21"/>
          <w:szCs w:val="21"/>
        </w:rPr>
      </w:pPr>
      <w:bookmarkStart w:id="186" w:name="_Toc989075"/>
      <w:r>
        <w:rPr>
          <w:rFonts w:ascii="宋体" w:hAnsi="宋体" w:eastAsia="宋体" w:cs="宋体"/>
          <w:b/>
          <w:bCs/>
          <w:sz w:val="21"/>
          <w:szCs w:val="21"/>
        </w:rPr>
        <w:t>（1） 应收票据分类列示</w:t>
      </w:r>
      <w:bookmarkEnd w:id="18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银行承兑票据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38,204,076.03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74,334,035.63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38,204,076.03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74,334,035.63</w:t>
            </w:r>
          </w:p>
        </w:tc>
      </w:tr>
    </w:tbl>
    <w:p>
      <w:pPr>
        <w:keepNext/>
        <w:keepLines/>
        <w:spacing w:before="300" w:after="300" w:line="280" w:lineRule="exact"/>
        <w:jc w:val="left"/>
        <w:outlineLvl w:val="3"/>
        <w:rPr>
          <w:rFonts w:ascii="宋体" w:hAnsi="宋体" w:eastAsia="宋体" w:cs="宋体"/>
          <w:b/>
          <w:bCs/>
          <w:sz w:val="21"/>
          <w:szCs w:val="21"/>
        </w:rPr>
      </w:pPr>
      <w:bookmarkStart w:id="187" w:name="_Toc989076"/>
      <w:r>
        <w:rPr>
          <w:rFonts w:ascii="宋体" w:hAnsi="宋体" w:eastAsia="宋体" w:cs="宋体"/>
          <w:b/>
          <w:bCs/>
          <w:sz w:val="21"/>
          <w:szCs w:val="21"/>
        </w:rPr>
        <w:t>（2） 按坏账计提方法分类披露</w:t>
      </w:r>
      <w:bookmarkEnd w:id="18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按组合计提坏账准备的应收票据</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38,204,076.03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38,204,076.03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74,334,035.63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74,334,035.63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其中：银行承兑汇票</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38,204,076.03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38,204,076.03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74,334,035.63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74,334,035.63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38,204,076.03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38,204,076.03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74,334,035.63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74,334,035.63</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按组合计提坏账准备类别名称：</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7230"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确定该组合依据的说明：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如是按照预期信用损失一般模型计提应收票据坏账准备：</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21"/>
          <w:szCs w:val="21"/>
        </w:rPr>
      </w:pPr>
      <w:bookmarkStart w:id="188" w:name="_Toc989077"/>
      <w:r>
        <w:rPr>
          <w:rFonts w:ascii="宋体" w:hAnsi="宋体" w:eastAsia="宋体" w:cs="宋体"/>
          <w:b/>
          <w:bCs/>
          <w:sz w:val="21"/>
          <w:szCs w:val="21"/>
        </w:rPr>
        <w:t>（3） 本期计提、收回或转回的坏账准备情况</w:t>
      </w:r>
      <w:bookmarkEnd w:id="188"/>
    </w:p>
    <w:p>
      <w:pPr>
        <w:spacing w:before="0" w:after="0" w:line="240" w:lineRule="exact"/>
        <w:jc w:val="left"/>
        <w:rPr>
          <w:rFonts w:ascii="宋体" w:hAnsi="宋体" w:eastAsia="宋体" w:cs="宋体"/>
          <w:sz w:val="18"/>
          <w:szCs w:val="18"/>
        </w:rPr>
      </w:pPr>
      <w:r>
        <w:rPr>
          <w:rFonts w:ascii="宋体" w:hAnsi="宋体" w:eastAsia="宋体" w:cs="宋体"/>
          <w:sz w:val="18"/>
          <w:szCs w:val="18"/>
        </w:rPr>
        <w:t>本期计提坏账准备情况：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其中本期坏账准备收回或转回金额重要的：</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21"/>
          <w:szCs w:val="21"/>
        </w:rPr>
      </w:pPr>
      <w:bookmarkStart w:id="189" w:name="_Toc989078"/>
      <w:r>
        <w:rPr>
          <w:rFonts w:ascii="宋体" w:hAnsi="宋体" w:eastAsia="宋体" w:cs="宋体"/>
          <w:b/>
          <w:bCs/>
          <w:sz w:val="21"/>
          <w:szCs w:val="21"/>
        </w:rPr>
        <w:t>（4） 期末公司已质押的应收票据</w:t>
      </w:r>
      <w:bookmarkEnd w:id="18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期末已质押金额</w:t>
            </w:r>
          </w:p>
        </w:tc>
      </w:tr>
    </w:tbl>
    <w:p>
      <w:pPr>
        <w:keepNext/>
        <w:keepLines/>
        <w:spacing w:before="300" w:after="300" w:line="280" w:lineRule="exact"/>
        <w:jc w:val="left"/>
        <w:outlineLvl w:val="3"/>
        <w:rPr>
          <w:rFonts w:ascii="宋体" w:hAnsi="宋体" w:eastAsia="宋体" w:cs="宋体"/>
          <w:b/>
          <w:bCs/>
          <w:sz w:val="21"/>
          <w:szCs w:val="21"/>
        </w:rPr>
      </w:pPr>
      <w:bookmarkStart w:id="190" w:name="_Toc989079"/>
      <w:r>
        <w:rPr>
          <w:rFonts w:ascii="宋体" w:hAnsi="宋体" w:eastAsia="宋体" w:cs="宋体"/>
          <w:b/>
          <w:bCs/>
          <w:sz w:val="21"/>
          <w:szCs w:val="21"/>
        </w:rPr>
        <w:t>（5） 期末公司已背书或贴现且在资产负债表日尚未到期的应收票据</w:t>
      </w:r>
      <w:bookmarkEnd w:id="19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期末终止确认金额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期末未终止确认金额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银行承兑票据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53,026,913.15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53,026,913.15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keepNext/>
        <w:keepLines/>
        <w:spacing w:before="300" w:after="300" w:line="280" w:lineRule="exact"/>
        <w:jc w:val="left"/>
        <w:outlineLvl w:val="3"/>
        <w:rPr>
          <w:rFonts w:ascii="宋体" w:hAnsi="宋体" w:eastAsia="宋体" w:cs="宋体"/>
          <w:b/>
          <w:bCs/>
          <w:sz w:val="21"/>
          <w:szCs w:val="21"/>
        </w:rPr>
      </w:pPr>
      <w:bookmarkStart w:id="191" w:name="_Toc989080"/>
      <w:r>
        <w:rPr>
          <w:rFonts w:ascii="宋体" w:hAnsi="宋体" w:eastAsia="宋体" w:cs="宋体"/>
          <w:b/>
          <w:bCs/>
          <w:sz w:val="21"/>
          <w:szCs w:val="21"/>
        </w:rPr>
        <w:t>（6） 本期实际核销的应收票据情况</w:t>
      </w:r>
      <w:bookmarkEnd w:id="19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其中重要的应收票据核销情况：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应收票据性质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款项是否由关联交易产生</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应收票据核销说明：</w:t>
      </w:r>
    </w:p>
    <w:p>
      <w:pPr>
        <w:keepNext/>
        <w:keepLines/>
        <w:spacing w:before="300" w:after="300" w:line="280" w:lineRule="exact"/>
        <w:jc w:val="left"/>
        <w:outlineLvl w:val="2"/>
        <w:rPr>
          <w:rFonts w:ascii="宋体" w:hAnsi="宋体" w:eastAsia="宋体" w:cs="宋体"/>
          <w:b/>
          <w:bCs/>
          <w:sz w:val="21"/>
          <w:szCs w:val="21"/>
        </w:rPr>
      </w:pPr>
      <w:bookmarkStart w:id="192" w:name="_Toc989081"/>
      <w:r>
        <w:rPr>
          <w:rFonts w:ascii="宋体" w:hAnsi="宋体" w:eastAsia="宋体" w:cs="宋体"/>
          <w:b/>
          <w:bCs/>
          <w:sz w:val="21"/>
          <w:szCs w:val="21"/>
        </w:rPr>
        <w:t>5、应收账款</w:t>
      </w:r>
      <w:bookmarkEnd w:id="192"/>
    </w:p>
    <w:p>
      <w:pPr>
        <w:keepNext/>
        <w:keepLines/>
        <w:spacing w:before="300" w:after="300" w:line="280" w:lineRule="exact"/>
        <w:jc w:val="left"/>
        <w:outlineLvl w:val="3"/>
        <w:rPr>
          <w:rFonts w:ascii="宋体" w:hAnsi="宋体" w:eastAsia="宋体" w:cs="宋体"/>
          <w:b/>
          <w:bCs/>
          <w:sz w:val="21"/>
          <w:szCs w:val="21"/>
        </w:rPr>
      </w:pPr>
      <w:bookmarkStart w:id="193" w:name="_Toc989082"/>
      <w:r>
        <w:rPr>
          <w:rFonts w:ascii="宋体" w:hAnsi="宋体" w:eastAsia="宋体" w:cs="宋体"/>
          <w:b/>
          <w:bCs/>
          <w:sz w:val="21"/>
          <w:szCs w:val="21"/>
        </w:rPr>
        <w:t>（1） 按账龄披露</w:t>
      </w:r>
      <w:bookmarkEnd w:id="193"/>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账龄</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期末账面余额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期初账面余额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1年以内（含1年）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3,718,664,311.60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3,836,886,793.77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1至2年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3,121,415,515.50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2,738,812,731.47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2至3年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1,799,416,162.80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1,126,845,283.27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3年以上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1,554,518,703.26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857,917,220.01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3至4年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922,528,696.99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450,925,689.88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4至5年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339,741,805.45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263,064,934.57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5年以上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292,248,200.82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143,926,595.56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10,194,014,693.16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8,560,462,028.52</w:t>
            </w:r>
          </w:p>
        </w:tc>
      </w:tr>
    </w:tbl>
    <w:p>
      <w:pPr>
        <w:keepNext/>
        <w:keepLines/>
        <w:spacing w:before="300" w:after="300" w:line="280" w:lineRule="exact"/>
        <w:jc w:val="left"/>
        <w:outlineLvl w:val="3"/>
        <w:rPr>
          <w:rFonts w:ascii="宋体" w:hAnsi="宋体" w:eastAsia="宋体" w:cs="宋体"/>
          <w:b/>
          <w:bCs/>
          <w:sz w:val="21"/>
          <w:szCs w:val="21"/>
        </w:rPr>
      </w:pPr>
      <w:bookmarkStart w:id="194" w:name="_Toc989083"/>
      <w:r>
        <w:rPr>
          <w:rFonts w:ascii="宋体" w:hAnsi="宋体" w:eastAsia="宋体" w:cs="宋体"/>
          <w:b/>
          <w:bCs/>
          <w:sz w:val="21"/>
          <w:szCs w:val="21"/>
        </w:rPr>
        <w:t>（2） 按坏账计提方法分类披露</w:t>
      </w:r>
      <w:bookmarkEnd w:id="19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按单项计提坏账准备的应收账款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1,243,826,223.26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12.20%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104,799,358.60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1,139,026,864.66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1,190,347,198.76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104,799,358.60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1,085,547,840.16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按组合计提坏账准备的应收账款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8,950,188,469.90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87.80%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45,525,699.77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0.51%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8,904,662,770.13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7,370,114,829.76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86.09%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45,595,011.54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7,324,519,818.22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账龄分析组合</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516,686,780.70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45,525,699.77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471,161,080.93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540,181,005.95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45,595,011.54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494,585,994.41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低风险组合</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8,433,501,689.20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82.73%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8,433,501,689.20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6,829,933,823.81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79.78%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6,829,933,823.81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10,194,014,693.16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150,325,058.37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10,043,689,634.79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8,560,462,028.52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150,394,370.14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8,410,067,658.38</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按单项计提坏账准备类别名称：</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计提理由</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广东电网有限责任公司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463,156,726.04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33,875,572.31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499,995,481.61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33,875,572.31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按应收补贴款预计未来现金流量现值低于其账面价值的差额计提坏账。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国网山西省电力公司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199,144,577.84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14,565,558.85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199,144,577.84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14,565,558.85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按应收补贴款预计未来现金流量现值低于其账面价值的差额计提坏账。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国网福建省电力有限公司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183,519,831.12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13,422,755.11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183,519,831.12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13,422,755.11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按应收补贴款预计未来现金流量现值低于其账面价值的差额计提坏账。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国网吉林省电力有限公司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按应收补贴款预计未来现金流量现值低于其账面价值的差额计提坏账。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国网黑龙江省电力有限公司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114,628,236.08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8,383,980.81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114,628,236.08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8,383,980.81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按应收补贴款预计未来现金流量现值低于其账面价值的差额计提坏账。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960,449,371.08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70,247,867.08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997,288,126.65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70,247,867.08</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按组合计提坏账准备类别名称：</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7230"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账龄组合</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516,686,780.70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45,525,699.77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低风险组合</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8,433,501,689.20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8,950,188,469.90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45,525,699.77</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确定该组合依据的说明：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如是按照预期信用损失一般模型计提应收账款坏账准备：</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第一阶段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第二阶段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第三阶段</w:t>
            </w:r>
          </w:p>
        </w:tc>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未来12个月预期信用损失</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整个存续期预期信用损失（未发生信用减值）</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整个存续期预期信用损失（已发生信用减值）</w:t>
            </w:r>
          </w:p>
        </w:tc>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2024年1月1日余额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40,165,640.54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110,228,729.60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150,394,370.14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2024年1月1日余额在本期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——转入第三阶段</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-244,985.00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244,985.00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本期计提</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16,450.89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16,450.89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本期转回</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69,311.77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69,311.77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2024年6月30日余额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39,851,343.77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110,473,714.60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150,325,058.37</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各阶段划分依据和坏账准备计提比例</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对本期发生损失准备变动的应收账款账面余额显著变动的情况说明：</w:t>
      </w:r>
    </w:p>
    <w:p>
      <w:pPr>
        <w:keepNext/>
        <w:keepLines/>
        <w:spacing w:before="300" w:after="300" w:line="280" w:lineRule="exact"/>
        <w:jc w:val="left"/>
        <w:outlineLvl w:val="3"/>
        <w:rPr>
          <w:rFonts w:ascii="宋体" w:hAnsi="宋体" w:eastAsia="宋体" w:cs="宋体"/>
          <w:b/>
          <w:bCs/>
          <w:sz w:val="21"/>
          <w:szCs w:val="21"/>
        </w:rPr>
      </w:pPr>
      <w:bookmarkStart w:id="195" w:name="_Toc989084"/>
      <w:r>
        <w:rPr>
          <w:rFonts w:ascii="宋体" w:hAnsi="宋体" w:eastAsia="宋体" w:cs="宋体"/>
          <w:b/>
          <w:bCs/>
          <w:sz w:val="21"/>
          <w:szCs w:val="21"/>
        </w:rPr>
        <w:t>（3） 本期计提、收回或转回的坏账准备情况</w:t>
      </w:r>
      <w:bookmarkEnd w:id="195"/>
    </w:p>
    <w:p>
      <w:pPr>
        <w:spacing w:before="40" w:after="40" w:line="240" w:lineRule="exact"/>
        <w:jc w:val="left"/>
        <w:rPr>
          <w:rFonts w:ascii="宋体" w:hAnsi="宋体" w:eastAsia="宋体" w:cs="宋体"/>
          <w:sz w:val="18"/>
          <w:szCs w:val="18"/>
        </w:rPr>
      </w:pPr>
      <w:r>
        <w:rPr>
          <w:rFonts w:ascii="宋体" w:hAnsi="宋体" w:eastAsia="宋体" w:cs="宋体"/>
          <w:sz w:val="18"/>
          <w:szCs w:val="18"/>
        </w:rPr>
        <w:t>本期计提坏账准备情况：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单项计提坏账准备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104,799,358.60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104,799,358.60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按组合计提坏账准备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45,595,011.54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69,311.77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45,525,699.77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150,394,370.14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69,311.77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150,325,058.37</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其中本期坏账准备收回或转回金额重要的：</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确定原坏账准备计提比例的依据及其合理性</w:t>
            </w:r>
          </w:p>
        </w:tc>
      </w:tr>
    </w:tbl>
    <w:p>
      <w:pPr>
        <w:spacing w:before="100" w:after="100" w:line="0" w:lineRule="exact"/>
        <w:jc w:val="left"/>
      </w:pPr>
    </w:p>
    <w:p>
      <w:pPr>
        <w:keepNext/>
        <w:keepLines/>
        <w:spacing w:before="300" w:after="300" w:line="280" w:lineRule="exact"/>
        <w:jc w:val="left"/>
        <w:outlineLvl w:val="3"/>
        <w:rPr>
          <w:rFonts w:ascii="宋体" w:hAnsi="宋体" w:eastAsia="宋体" w:cs="宋体"/>
          <w:b/>
          <w:bCs/>
          <w:sz w:val="21"/>
          <w:szCs w:val="21"/>
        </w:rPr>
      </w:pPr>
      <w:bookmarkStart w:id="196" w:name="_Toc989085"/>
      <w:r>
        <w:rPr>
          <w:rFonts w:ascii="宋体" w:hAnsi="宋体" w:eastAsia="宋体" w:cs="宋体"/>
          <w:b/>
          <w:bCs/>
          <w:sz w:val="21"/>
          <w:szCs w:val="21"/>
        </w:rPr>
        <w:t>（4） 本期实际核销的应收账款情况</w:t>
      </w:r>
      <w:bookmarkEnd w:id="19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其中重要的应收账款核销情况：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应收账款性质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款项是否由关联交易产生</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应收账款核销说明：</w:t>
      </w:r>
    </w:p>
    <w:p>
      <w:pPr>
        <w:keepNext/>
        <w:keepLines/>
        <w:spacing w:before="300" w:after="300" w:line="280" w:lineRule="exact"/>
        <w:jc w:val="left"/>
        <w:outlineLvl w:val="3"/>
        <w:rPr>
          <w:rFonts w:ascii="宋体" w:hAnsi="宋体" w:eastAsia="宋体" w:cs="宋体"/>
          <w:b/>
          <w:bCs/>
          <w:sz w:val="21"/>
          <w:szCs w:val="21"/>
        </w:rPr>
      </w:pPr>
      <w:bookmarkStart w:id="197" w:name="_Toc989086"/>
      <w:r>
        <w:rPr>
          <w:rFonts w:ascii="宋体" w:hAnsi="宋体" w:eastAsia="宋体" w:cs="宋体"/>
          <w:b/>
          <w:bCs/>
          <w:sz w:val="21"/>
          <w:szCs w:val="21"/>
        </w:rPr>
        <w:t>（5） 按欠款方归集的期末余额前五名的应收账款和合同资产情况</w:t>
      </w:r>
      <w:bookmarkEnd w:id="19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应收账款期末余额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合同资产期末余额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应收账款和合同资产期末余额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占应收账款和合同资产期末余额合计数的比例</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应收账款坏账准备和合同资产减值准备期末余额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国网吉林省电力有限公司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2,163,417,919.09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2,163,417,919.09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21.22%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国网江西省电力有限公司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898,983,061.60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898,983,061.60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国网陕西省电力公司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768,977,775.93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768,977,775.93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国网冀北电力有限公司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749,679,606.30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749,679,606.30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3,865,677.51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广东电网有限责任公司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730,091,778.21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730,091,778.21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33,875,572.31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5,311,150,141.13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5,311,150,141.13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52.09%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49,499,445.52</w:t>
            </w:r>
          </w:p>
        </w:tc>
      </w:tr>
    </w:tbl>
    <w:p>
      <w:pPr>
        <w:keepNext/>
        <w:keepLines/>
        <w:spacing w:before="300" w:after="300" w:line="280" w:lineRule="exact"/>
        <w:jc w:val="left"/>
        <w:outlineLvl w:val="2"/>
        <w:rPr>
          <w:rFonts w:ascii="宋体" w:hAnsi="宋体" w:eastAsia="宋体" w:cs="宋体"/>
          <w:b/>
          <w:bCs/>
          <w:sz w:val="21"/>
          <w:szCs w:val="21"/>
        </w:rPr>
      </w:pPr>
      <w:bookmarkStart w:id="198" w:name="_Toc989087"/>
      <w:r>
        <w:rPr>
          <w:rFonts w:ascii="宋体" w:hAnsi="宋体" w:eastAsia="宋体" w:cs="宋体"/>
          <w:b/>
          <w:bCs/>
          <w:sz w:val="21"/>
          <w:szCs w:val="21"/>
        </w:rPr>
        <w:t>6、合同资产</w:t>
      </w:r>
      <w:bookmarkEnd w:id="198"/>
    </w:p>
    <w:p>
      <w:pPr>
        <w:keepNext/>
        <w:keepLines/>
        <w:spacing w:before="300" w:after="300" w:line="280" w:lineRule="exact"/>
        <w:jc w:val="left"/>
        <w:outlineLvl w:val="3"/>
        <w:rPr>
          <w:rFonts w:ascii="宋体" w:hAnsi="宋体" w:eastAsia="宋体" w:cs="宋体"/>
          <w:b/>
          <w:bCs/>
          <w:sz w:val="21"/>
          <w:szCs w:val="21"/>
        </w:rPr>
      </w:pPr>
      <w:bookmarkStart w:id="199" w:name="_Toc989088"/>
      <w:r>
        <w:rPr>
          <w:rFonts w:ascii="宋体" w:hAnsi="宋体" w:eastAsia="宋体" w:cs="宋体"/>
          <w:b/>
          <w:bCs/>
          <w:sz w:val="21"/>
          <w:szCs w:val="21"/>
        </w:rPr>
        <w:t>（1） 合同资产情况</w:t>
      </w:r>
      <w:bookmarkEnd w:id="19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bl>
    <w:p>
      <w:pPr>
        <w:keepNext/>
        <w:keepLines/>
        <w:spacing w:before="300" w:after="300" w:line="280" w:lineRule="exact"/>
        <w:jc w:val="left"/>
        <w:outlineLvl w:val="3"/>
        <w:rPr>
          <w:rFonts w:ascii="宋体" w:hAnsi="宋体" w:eastAsia="宋体" w:cs="宋体"/>
          <w:b/>
          <w:bCs/>
          <w:sz w:val="21"/>
          <w:szCs w:val="21"/>
        </w:rPr>
      </w:pPr>
      <w:bookmarkStart w:id="200" w:name="_Toc989089"/>
      <w:r>
        <w:rPr>
          <w:rFonts w:ascii="宋体" w:hAnsi="宋体" w:eastAsia="宋体" w:cs="宋体"/>
          <w:b/>
          <w:bCs/>
          <w:sz w:val="21"/>
          <w:szCs w:val="21"/>
        </w:rPr>
        <w:t>（2） 报告期内账面价值发生的重大变动金额和原因</w:t>
      </w:r>
      <w:bookmarkEnd w:id="200"/>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变动金额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变动原因</w:t>
            </w:r>
          </w:p>
        </w:tc>
      </w:tr>
    </w:tbl>
    <w:p>
      <w:pPr>
        <w:keepNext/>
        <w:keepLines/>
        <w:spacing w:before="300" w:after="300" w:line="280" w:lineRule="exact"/>
        <w:jc w:val="left"/>
        <w:outlineLvl w:val="3"/>
        <w:rPr>
          <w:rFonts w:ascii="宋体" w:hAnsi="宋体" w:eastAsia="宋体" w:cs="宋体"/>
          <w:b/>
          <w:bCs/>
          <w:sz w:val="21"/>
          <w:szCs w:val="21"/>
        </w:rPr>
      </w:pPr>
      <w:bookmarkStart w:id="201" w:name="_Toc989090"/>
      <w:r>
        <w:rPr>
          <w:rFonts w:ascii="宋体" w:hAnsi="宋体" w:eastAsia="宋体" w:cs="宋体"/>
          <w:b/>
          <w:bCs/>
          <w:sz w:val="21"/>
          <w:szCs w:val="21"/>
        </w:rPr>
        <w:t>（3） 按坏账计提方法分类披露</w:t>
      </w:r>
      <w:bookmarkEnd w:id="201"/>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按预期信用损失一般模型计提坏账准备</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21"/>
          <w:szCs w:val="21"/>
        </w:rPr>
      </w:pPr>
      <w:bookmarkStart w:id="202" w:name="_Toc989091"/>
      <w:r>
        <w:rPr>
          <w:rFonts w:ascii="宋体" w:hAnsi="宋体" w:eastAsia="宋体" w:cs="宋体"/>
          <w:b/>
          <w:bCs/>
          <w:sz w:val="21"/>
          <w:szCs w:val="21"/>
        </w:rPr>
        <w:t>（4） 本期计提、收回或转回的坏账准备情况</w:t>
      </w:r>
      <w:bookmarkEnd w:id="202"/>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本期计提</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本期收回或转回</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本期转销/核销</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原因</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其中本期坏账准备收回或转回金额重要的：</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确定原坏账准备计提比例的依据及其合理性</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203" w:name="_Toc989092"/>
      <w:r>
        <w:rPr>
          <w:rFonts w:ascii="宋体" w:hAnsi="宋体" w:eastAsia="宋体" w:cs="宋体"/>
          <w:b/>
          <w:bCs/>
          <w:sz w:val="21"/>
          <w:szCs w:val="21"/>
        </w:rPr>
        <w:t>（5） 本期实际核销的合同资产情况</w:t>
      </w:r>
      <w:bookmarkEnd w:id="20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r>
    </w:tbl>
    <w:p>
      <w:pPr>
        <w:spacing w:before="0" w:after="0" w:line="240" w:lineRule="exact"/>
        <w:jc w:val="left"/>
        <w:rPr>
          <w:rFonts w:ascii="宋体" w:hAnsi="宋体" w:eastAsia="宋体" w:cs="宋体"/>
          <w:sz w:val="18"/>
          <w:szCs w:val="18"/>
        </w:rPr>
      </w:pPr>
      <w:r>
        <w:rPr>
          <w:rFonts w:ascii="宋体" w:hAnsi="宋体" w:eastAsia="宋体" w:cs="宋体"/>
          <w:sz w:val="18"/>
          <w:szCs w:val="18"/>
        </w:rPr>
        <w:t>其中重要的合同资产核销情况</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款项是否由关联交易产生</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合同资产核销说明：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04" w:name="_Toc989093"/>
      <w:r>
        <w:rPr>
          <w:rFonts w:ascii="宋体" w:hAnsi="宋体" w:eastAsia="宋体" w:cs="宋体"/>
          <w:b/>
          <w:bCs/>
          <w:sz w:val="21"/>
          <w:szCs w:val="21"/>
        </w:rPr>
        <w:t>7、应收款项融资</w:t>
      </w:r>
      <w:bookmarkEnd w:id="204"/>
    </w:p>
    <w:p>
      <w:pPr>
        <w:keepNext/>
        <w:keepLines/>
        <w:spacing w:before="300" w:after="300" w:line="280" w:lineRule="exact"/>
        <w:jc w:val="left"/>
        <w:outlineLvl w:val="3"/>
        <w:rPr>
          <w:rFonts w:ascii="宋体" w:hAnsi="宋体" w:eastAsia="宋体" w:cs="宋体"/>
          <w:b/>
          <w:bCs/>
          <w:sz w:val="21"/>
          <w:szCs w:val="21"/>
        </w:rPr>
      </w:pPr>
      <w:bookmarkStart w:id="205" w:name="_Toc989094"/>
      <w:r>
        <w:rPr>
          <w:rFonts w:ascii="宋体" w:hAnsi="宋体" w:eastAsia="宋体" w:cs="宋体"/>
          <w:b/>
          <w:bCs/>
          <w:sz w:val="21"/>
          <w:szCs w:val="21"/>
        </w:rPr>
        <w:t>（1） 应收款项融资分类列示</w:t>
      </w:r>
      <w:bookmarkEnd w:id="20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bl>
    <w:p>
      <w:pPr>
        <w:keepNext/>
        <w:keepLines/>
        <w:spacing w:before="300" w:after="300" w:line="280" w:lineRule="exact"/>
        <w:jc w:val="left"/>
        <w:outlineLvl w:val="3"/>
        <w:rPr>
          <w:rFonts w:ascii="宋体" w:hAnsi="宋体" w:eastAsia="宋体" w:cs="宋体"/>
          <w:b/>
          <w:bCs/>
          <w:sz w:val="21"/>
          <w:szCs w:val="21"/>
        </w:rPr>
      </w:pPr>
      <w:bookmarkStart w:id="206" w:name="_Toc989095"/>
      <w:r>
        <w:rPr>
          <w:rFonts w:ascii="宋体" w:hAnsi="宋体" w:eastAsia="宋体" w:cs="宋体"/>
          <w:b/>
          <w:bCs/>
          <w:sz w:val="21"/>
          <w:szCs w:val="21"/>
        </w:rPr>
        <w:t>（2） 按坏账计提方法分类披露</w:t>
      </w:r>
      <w:bookmarkEnd w:id="20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w:t>
            </w:r>
          </w:p>
        </w:tc>
      </w:tr>
    </w:tbl>
    <w:p>
      <w:pPr>
        <w:spacing w:before="0" w:after="0" w:line="240" w:lineRule="exact"/>
        <w:jc w:val="left"/>
        <w:rPr>
          <w:rFonts w:ascii="宋体" w:hAnsi="宋体" w:eastAsia="宋体" w:cs="宋体"/>
          <w:sz w:val="18"/>
          <w:szCs w:val="18"/>
        </w:rPr>
      </w:pPr>
      <w:r>
        <w:rPr>
          <w:rFonts w:ascii="宋体" w:hAnsi="宋体" w:eastAsia="宋体" w:cs="宋体"/>
          <w:sz w:val="18"/>
          <w:szCs w:val="18"/>
        </w:rPr>
        <w:t>按预期信用损失一般模型计提坏账准备</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第一阶段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第二阶段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第三阶段</w:t>
            </w:r>
          </w:p>
        </w:tc>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未来12个月预期信用损失</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整个存续期预期信用损失（未发生信用减值）</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整个存续期预期信用损失（已发生信用减值）</w:t>
            </w:r>
          </w:p>
        </w:tc>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2024年1月1日余额在本期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各阶段划分依据和坏账准备计提比例</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对本期发生损失准备变动的应收款项融资账面余额显著变动的情况说明：</w:t>
      </w:r>
    </w:p>
    <w:p>
      <w:pPr>
        <w:keepNext/>
        <w:keepLines/>
        <w:spacing w:before="300" w:after="300" w:line="280" w:lineRule="exact"/>
        <w:jc w:val="left"/>
        <w:outlineLvl w:val="3"/>
        <w:rPr>
          <w:rFonts w:ascii="宋体" w:hAnsi="宋体" w:eastAsia="宋体" w:cs="宋体"/>
          <w:b/>
          <w:bCs/>
          <w:sz w:val="21"/>
          <w:szCs w:val="21"/>
        </w:rPr>
      </w:pPr>
      <w:bookmarkStart w:id="207" w:name="_Toc989096"/>
      <w:r>
        <w:rPr>
          <w:rFonts w:ascii="宋体" w:hAnsi="宋体" w:eastAsia="宋体" w:cs="宋体"/>
          <w:b/>
          <w:bCs/>
          <w:sz w:val="21"/>
          <w:szCs w:val="21"/>
        </w:rPr>
        <w:t>（3） 本期计提、收回或转回的坏账准备的情况</w:t>
      </w:r>
      <w:bookmarkEnd w:id="20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转销或核销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其他变动</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0" w:after="0" w:line="240" w:lineRule="exact"/>
        <w:jc w:val="left"/>
        <w:rPr>
          <w:rFonts w:ascii="宋体" w:hAnsi="宋体" w:eastAsia="宋体" w:cs="宋体"/>
          <w:sz w:val="18"/>
          <w:szCs w:val="18"/>
        </w:rPr>
      </w:pPr>
      <w:r>
        <w:rPr>
          <w:rFonts w:ascii="宋体" w:hAnsi="宋体" w:eastAsia="宋体" w:cs="宋体"/>
          <w:sz w:val="18"/>
          <w:szCs w:val="18"/>
        </w:rPr>
        <w:t>其中本期坏账准备收回或转回金额重要的：</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确定原坏账准备计提比例的依据及其合理性</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208" w:name="_Toc989097"/>
      <w:r>
        <w:rPr>
          <w:rFonts w:ascii="宋体" w:hAnsi="宋体" w:eastAsia="宋体" w:cs="宋体"/>
          <w:b/>
          <w:bCs/>
          <w:sz w:val="21"/>
          <w:szCs w:val="21"/>
        </w:rPr>
        <w:t>（4） 期末公司已质押的应收款项融资</w:t>
      </w:r>
      <w:bookmarkEnd w:id="20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期末已质押金额</w:t>
            </w:r>
          </w:p>
        </w:tc>
      </w:tr>
    </w:tbl>
    <w:p>
      <w:pPr>
        <w:keepNext/>
        <w:keepLines/>
        <w:spacing w:before="300" w:after="300" w:line="280" w:lineRule="exact"/>
        <w:jc w:val="left"/>
        <w:outlineLvl w:val="3"/>
        <w:rPr>
          <w:rFonts w:ascii="宋体" w:hAnsi="宋体" w:eastAsia="宋体" w:cs="宋体"/>
          <w:b/>
          <w:bCs/>
          <w:sz w:val="21"/>
          <w:szCs w:val="21"/>
        </w:rPr>
      </w:pPr>
      <w:bookmarkStart w:id="209" w:name="_Toc989098"/>
      <w:r>
        <w:rPr>
          <w:rFonts w:ascii="宋体" w:hAnsi="宋体" w:eastAsia="宋体" w:cs="宋体"/>
          <w:b/>
          <w:bCs/>
          <w:sz w:val="21"/>
          <w:szCs w:val="21"/>
        </w:rPr>
        <w:t>（5） 期末公司已背书或贴现且在资产负债表日尚未到期的应收款项融资</w:t>
      </w:r>
      <w:bookmarkEnd w:id="20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期末终止确认金额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期末未终止确认金额</w:t>
            </w:r>
          </w:p>
        </w:tc>
      </w:tr>
    </w:tbl>
    <w:p>
      <w:pPr>
        <w:keepNext/>
        <w:keepLines/>
        <w:spacing w:before="300" w:after="300" w:line="280" w:lineRule="exact"/>
        <w:jc w:val="left"/>
        <w:outlineLvl w:val="3"/>
        <w:rPr>
          <w:rFonts w:ascii="宋体" w:hAnsi="宋体" w:eastAsia="宋体" w:cs="宋体"/>
          <w:b/>
          <w:bCs/>
          <w:sz w:val="21"/>
          <w:szCs w:val="21"/>
        </w:rPr>
      </w:pPr>
      <w:bookmarkStart w:id="210" w:name="_Toc989099"/>
      <w:r>
        <w:rPr>
          <w:rFonts w:ascii="宋体" w:hAnsi="宋体" w:eastAsia="宋体" w:cs="宋体"/>
          <w:b/>
          <w:bCs/>
          <w:sz w:val="21"/>
          <w:szCs w:val="21"/>
        </w:rPr>
        <w:t>（6） 本期实际核销的应收款项融资情况</w:t>
      </w:r>
      <w:bookmarkEnd w:id="21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r>
    </w:tbl>
    <w:p>
      <w:pPr>
        <w:spacing w:before="0" w:after="0" w:line="0" w:lineRule="exact"/>
        <w:jc w:val="left"/>
      </w:pPr>
    </w:p>
    <w:p>
      <w:pPr>
        <w:spacing w:before="0" w:after="0" w:line="240" w:lineRule="exact"/>
        <w:jc w:val="left"/>
        <w:rPr>
          <w:rFonts w:ascii="宋体" w:hAnsi="宋体" w:eastAsia="宋体" w:cs="宋体"/>
          <w:sz w:val="18"/>
          <w:szCs w:val="18"/>
        </w:rPr>
      </w:pPr>
      <w:r>
        <w:rPr>
          <w:rFonts w:ascii="宋体" w:hAnsi="宋体" w:eastAsia="宋体" w:cs="宋体"/>
          <w:sz w:val="18"/>
          <w:szCs w:val="18"/>
        </w:rPr>
        <w:t>其中重要的应收款项融资核销情况</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款项是否由关联交易产生</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核销说明：</w:t>
      </w:r>
    </w:p>
    <w:p>
      <w:pPr>
        <w:keepNext/>
        <w:keepLines/>
        <w:spacing w:before="300" w:after="300" w:line="280" w:lineRule="exact"/>
        <w:jc w:val="left"/>
        <w:outlineLvl w:val="3"/>
        <w:rPr>
          <w:rFonts w:ascii="宋体" w:hAnsi="宋体" w:eastAsia="宋体" w:cs="宋体"/>
          <w:b/>
          <w:bCs/>
          <w:sz w:val="21"/>
          <w:szCs w:val="21"/>
        </w:rPr>
      </w:pPr>
      <w:bookmarkStart w:id="211" w:name="_Toc989100"/>
      <w:r>
        <w:rPr>
          <w:rFonts w:ascii="宋体" w:hAnsi="宋体" w:eastAsia="宋体" w:cs="宋体"/>
          <w:b/>
          <w:bCs/>
          <w:sz w:val="21"/>
          <w:szCs w:val="21"/>
        </w:rPr>
        <w:t>（7） 应收款项融资本期增减变动及公允价值变动情况</w:t>
      </w:r>
      <w:bookmarkEnd w:id="211"/>
    </w:p>
    <w:p>
      <w:pPr>
        <w:keepNext/>
        <w:keepLines/>
        <w:spacing w:before="300" w:after="300" w:line="280" w:lineRule="exact"/>
        <w:jc w:val="left"/>
        <w:outlineLvl w:val="3"/>
        <w:rPr>
          <w:rFonts w:ascii="宋体" w:hAnsi="宋体" w:eastAsia="宋体" w:cs="宋体"/>
          <w:b/>
          <w:bCs/>
          <w:sz w:val="21"/>
          <w:szCs w:val="21"/>
        </w:rPr>
      </w:pPr>
      <w:bookmarkStart w:id="212" w:name="_Toc989101"/>
      <w:r>
        <w:rPr>
          <w:rFonts w:ascii="宋体" w:hAnsi="宋体" w:eastAsia="宋体" w:cs="宋体"/>
          <w:b/>
          <w:bCs/>
          <w:sz w:val="21"/>
          <w:szCs w:val="21"/>
        </w:rPr>
        <w:t>（8） 其他说明</w:t>
      </w:r>
      <w:bookmarkEnd w:id="212"/>
    </w:p>
    <w:p>
      <w:pPr>
        <w:keepNext/>
        <w:keepLines/>
        <w:spacing w:before="300" w:after="300" w:line="280" w:lineRule="exact"/>
        <w:jc w:val="left"/>
        <w:outlineLvl w:val="2"/>
        <w:rPr>
          <w:rFonts w:ascii="宋体" w:hAnsi="宋体" w:eastAsia="宋体" w:cs="宋体"/>
          <w:b/>
          <w:bCs/>
          <w:sz w:val="21"/>
          <w:szCs w:val="21"/>
        </w:rPr>
      </w:pPr>
      <w:bookmarkStart w:id="213" w:name="_Toc989102"/>
      <w:r>
        <w:rPr>
          <w:rFonts w:ascii="宋体" w:hAnsi="宋体" w:eastAsia="宋体" w:cs="宋体"/>
          <w:b/>
          <w:bCs/>
          <w:sz w:val="21"/>
          <w:szCs w:val="21"/>
        </w:rPr>
        <w:t>8、其他应收款</w:t>
      </w:r>
      <w:bookmarkEnd w:id="21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其他应收款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153,413,278.89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151,110,003.33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153,413,278.89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151,110,003.33</w:t>
            </w:r>
          </w:p>
        </w:tc>
      </w:tr>
    </w:tbl>
    <w:p>
      <w:pPr>
        <w:keepNext/>
        <w:keepLines/>
        <w:spacing w:before="300" w:after="300" w:line="280" w:lineRule="exact"/>
        <w:jc w:val="left"/>
        <w:outlineLvl w:val="3"/>
        <w:rPr>
          <w:rFonts w:ascii="宋体" w:hAnsi="宋体" w:eastAsia="宋体" w:cs="宋体"/>
          <w:b/>
          <w:bCs/>
          <w:sz w:val="21"/>
          <w:szCs w:val="21"/>
        </w:rPr>
      </w:pPr>
      <w:bookmarkStart w:id="214" w:name="_Toc989103"/>
      <w:r>
        <w:rPr>
          <w:rFonts w:ascii="宋体" w:hAnsi="宋体" w:eastAsia="宋体" w:cs="宋体"/>
          <w:b/>
          <w:bCs/>
          <w:sz w:val="21"/>
          <w:szCs w:val="21"/>
        </w:rPr>
        <w:t>（1） 应收利息</w:t>
      </w:r>
      <w:bookmarkEnd w:id="214"/>
    </w:p>
    <w:p>
      <w:pPr>
        <w:keepNext/>
        <w:keepLines/>
        <w:spacing w:before="300" w:after="300" w:line="280" w:lineRule="exact"/>
        <w:jc w:val="left"/>
        <w:outlineLvl w:val="4"/>
        <w:rPr>
          <w:rFonts w:ascii="宋体" w:hAnsi="宋体" w:eastAsia="宋体" w:cs="宋体"/>
          <w:b/>
          <w:bCs/>
          <w:sz w:val="21"/>
          <w:szCs w:val="21"/>
        </w:rPr>
      </w:pPr>
      <w:bookmarkStart w:id="215" w:name="_Toc989104"/>
      <w:r>
        <w:rPr>
          <w:rFonts w:ascii="宋体" w:hAnsi="宋体" w:eastAsia="宋体" w:cs="宋体"/>
          <w:b/>
          <w:bCs/>
          <w:sz w:val="21"/>
          <w:szCs w:val="21"/>
        </w:rPr>
        <w:t>1） 应收利息分类</w:t>
      </w:r>
      <w:bookmarkEnd w:id="21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bl>
    <w:p>
      <w:pPr>
        <w:keepNext/>
        <w:keepLines/>
        <w:spacing w:before="300" w:after="300" w:line="280" w:lineRule="exact"/>
        <w:jc w:val="left"/>
        <w:outlineLvl w:val="4"/>
        <w:rPr>
          <w:rFonts w:ascii="宋体" w:hAnsi="宋体" w:eastAsia="宋体" w:cs="宋体"/>
          <w:b/>
          <w:bCs/>
          <w:sz w:val="21"/>
          <w:szCs w:val="21"/>
        </w:rPr>
      </w:pPr>
      <w:bookmarkStart w:id="216" w:name="_Toc989105"/>
      <w:r>
        <w:rPr>
          <w:rFonts w:ascii="宋体" w:hAnsi="宋体" w:eastAsia="宋体" w:cs="宋体"/>
          <w:b/>
          <w:bCs/>
          <w:sz w:val="21"/>
          <w:szCs w:val="21"/>
        </w:rPr>
        <w:t>2） 重要逾期利息</w:t>
      </w:r>
      <w:bookmarkEnd w:id="21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借款单位</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逾期时间</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逾期原因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是否发生减值及其判断依据</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4"/>
        <w:rPr>
          <w:rFonts w:ascii="宋体" w:hAnsi="宋体" w:eastAsia="宋体" w:cs="宋体"/>
          <w:b/>
          <w:bCs/>
          <w:sz w:val="21"/>
          <w:szCs w:val="21"/>
        </w:rPr>
      </w:pPr>
      <w:bookmarkStart w:id="217" w:name="_Toc989106"/>
      <w:r>
        <w:rPr>
          <w:rFonts w:ascii="宋体" w:hAnsi="宋体" w:eastAsia="宋体" w:cs="宋体"/>
          <w:b/>
          <w:bCs/>
          <w:sz w:val="21"/>
          <w:szCs w:val="21"/>
        </w:rPr>
        <w:t>3） 按坏账计提方法分类披露</w:t>
      </w:r>
      <w:bookmarkEnd w:id="217"/>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4"/>
        <w:rPr>
          <w:rFonts w:ascii="宋体" w:hAnsi="宋体" w:eastAsia="宋体" w:cs="宋体"/>
          <w:b/>
          <w:bCs/>
          <w:sz w:val="18"/>
          <w:szCs w:val="18"/>
        </w:rPr>
      </w:pPr>
      <w:bookmarkStart w:id="218" w:name="_Toc989107"/>
      <w:r>
        <w:rPr>
          <w:rFonts w:ascii="宋体" w:hAnsi="宋体" w:eastAsia="宋体" w:cs="宋体"/>
          <w:b/>
          <w:bCs/>
          <w:sz w:val="18"/>
          <w:szCs w:val="18"/>
        </w:rPr>
        <w:t>4） 本期计提、收回或转回的坏账准备的情况</w:t>
      </w:r>
      <w:bookmarkEnd w:id="21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转销或核销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其他变动</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其中本期坏账准备收回或转回金额重要的：</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确定原坏账准备计提比例的依据及其合理性</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4"/>
        <w:rPr>
          <w:rFonts w:ascii="宋体" w:hAnsi="宋体" w:eastAsia="宋体" w:cs="宋体"/>
          <w:b/>
          <w:bCs/>
          <w:sz w:val="18"/>
          <w:szCs w:val="18"/>
        </w:rPr>
      </w:pPr>
      <w:bookmarkStart w:id="219" w:name="_Toc989108"/>
      <w:r>
        <w:rPr>
          <w:rFonts w:ascii="宋体" w:hAnsi="宋体" w:eastAsia="宋体" w:cs="宋体"/>
          <w:b/>
          <w:bCs/>
          <w:sz w:val="18"/>
          <w:szCs w:val="18"/>
        </w:rPr>
        <w:t>5） 本期实际核销的应收利息情况</w:t>
      </w:r>
      <w:bookmarkEnd w:id="21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其中重要的应收利息核销情况</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款项是否由关联交易产生</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核销说明：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220" w:name="_Toc989109"/>
      <w:r>
        <w:rPr>
          <w:rFonts w:ascii="宋体" w:hAnsi="宋体" w:eastAsia="宋体" w:cs="宋体"/>
          <w:b/>
          <w:bCs/>
          <w:sz w:val="21"/>
          <w:szCs w:val="21"/>
        </w:rPr>
        <w:t>（2） 应收股利</w:t>
      </w:r>
      <w:bookmarkEnd w:id="220"/>
    </w:p>
    <w:p>
      <w:pPr>
        <w:keepNext/>
        <w:keepLines/>
        <w:spacing w:before="300" w:after="300" w:line="280" w:lineRule="exact"/>
        <w:jc w:val="left"/>
        <w:outlineLvl w:val="4"/>
        <w:rPr>
          <w:rFonts w:ascii="宋体" w:hAnsi="宋体" w:eastAsia="宋体" w:cs="宋体"/>
          <w:b/>
          <w:bCs/>
          <w:sz w:val="18"/>
          <w:szCs w:val="18"/>
        </w:rPr>
      </w:pPr>
      <w:bookmarkStart w:id="221" w:name="_Toc989110"/>
      <w:r>
        <w:rPr>
          <w:rFonts w:ascii="宋体" w:hAnsi="宋体" w:eastAsia="宋体" w:cs="宋体"/>
          <w:b/>
          <w:bCs/>
          <w:sz w:val="18"/>
          <w:szCs w:val="18"/>
        </w:rPr>
        <w:t>1） 应收股利分类</w:t>
      </w:r>
      <w:bookmarkEnd w:id="22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项目（或被投资单位）</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bl>
    <w:p>
      <w:pPr>
        <w:keepNext/>
        <w:keepLines/>
        <w:spacing w:before="300" w:after="300" w:line="280" w:lineRule="exact"/>
        <w:jc w:val="left"/>
        <w:outlineLvl w:val="4"/>
        <w:rPr>
          <w:rFonts w:ascii="宋体" w:hAnsi="宋体" w:eastAsia="宋体" w:cs="宋体"/>
          <w:b/>
          <w:bCs/>
          <w:sz w:val="18"/>
          <w:szCs w:val="18"/>
        </w:rPr>
      </w:pPr>
      <w:bookmarkStart w:id="222" w:name="_Toc989111"/>
      <w:r>
        <w:rPr>
          <w:rFonts w:ascii="宋体" w:hAnsi="宋体" w:eastAsia="宋体" w:cs="宋体"/>
          <w:b/>
          <w:bCs/>
          <w:sz w:val="18"/>
          <w:szCs w:val="18"/>
        </w:rPr>
        <w:t>2） 重要的账龄超过1年的应收股利</w:t>
      </w:r>
      <w:bookmarkEnd w:id="22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项目（或被投资单位）</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账龄</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未收回的原因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是否发生减值及其判断依据</w:t>
            </w:r>
          </w:p>
        </w:tc>
      </w:tr>
    </w:tbl>
    <w:p>
      <w:pPr>
        <w:keepNext/>
        <w:keepLines/>
        <w:spacing w:before="300" w:after="300" w:line="280" w:lineRule="exact"/>
        <w:jc w:val="left"/>
        <w:outlineLvl w:val="4"/>
        <w:rPr>
          <w:rFonts w:ascii="宋体" w:hAnsi="宋体" w:eastAsia="宋体" w:cs="宋体"/>
          <w:b/>
          <w:bCs/>
          <w:sz w:val="18"/>
          <w:szCs w:val="18"/>
        </w:rPr>
      </w:pPr>
      <w:bookmarkStart w:id="223" w:name="_Toc989112"/>
      <w:r>
        <w:rPr>
          <w:rFonts w:ascii="宋体" w:hAnsi="宋体" w:eastAsia="宋体" w:cs="宋体"/>
          <w:b/>
          <w:bCs/>
          <w:sz w:val="18"/>
          <w:szCs w:val="18"/>
        </w:rPr>
        <w:t>3） 按坏账计提方法分类披露</w:t>
      </w:r>
      <w:bookmarkEnd w:id="223"/>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4"/>
        <w:rPr>
          <w:rFonts w:ascii="宋体" w:hAnsi="宋体" w:eastAsia="宋体" w:cs="宋体"/>
          <w:b/>
          <w:bCs/>
          <w:sz w:val="18"/>
          <w:szCs w:val="18"/>
        </w:rPr>
      </w:pPr>
      <w:bookmarkStart w:id="224" w:name="_Toc989113"/>
      <w:r>
        <w:rPr>
          <w:rFonts w:ascii="宋体" w:hAnsi="宋体" w:eastAsia="宋体" w:cs="宋体"/>
          <w:b/>
          <w:bCs/>
          <w:sz w:val="18"/>
          <w:szCs w:val="18"/>
        </w:rPr>
        <w:t>4） 本期计提、收回或转回的坏账准备的情况</w:t>
      </w:r>
      <w:bookmarkEnd w:id="22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转销或核销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其他变动</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0" w:after="0" w:line="240" w:lineRule="exact"/>
        <w:jc w:val="left"/>
        <w:rPr>
          <w:rFonts w:ascii="宋体" w:hAnsi="宋体" w:eastAsia="宋体" w:cs="宋体"/>
          <w:sz w:val="18"/>
          <w:szCs w:val="18"/>
        </w:rPr>
      </w:pPr>
      <w:r>
        <w:rPr>
          <w:rFonts w:ascii="宋体" w:hAnsi="宋体" w:eastAsia="宋体" w:cs="宋体"/>
          <w:sz w:val="18"/>
          <w:szCs w:val="18"/>
        </w:rPr>
        <w:t>其中本期坏账准备收回或转回金额重要的：</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确定原坏账准备计提比例的依据及其合理性</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4"/>
        <w:rPr>
          <w:rFonts w:ascii="宋体" w:hAnsi="宋体" w:eastAsia="宋体" w:cs="宋体"/>
          <w:b/>
          <w:bCs/>
          <w:sz w:val="18"/>
          <w:szCs w:val="18"/>
        </w:rPr>
      </w:pPr>
      <w:bookmarkStart w:id="225" w:name="_Toc989114"/>
      <w:r>
        <w:rPr>
          <w:rFonts w:ascii="宋体" w:hAnsi="宋体" w:eastAsia="宋体" w:cs="宋体"/>
          <w:b/>
          <w:bCs/>
          <w:sz w:val="18"/>
          <w:szCs w:val="18"/>
        </w:rPr>
        <w:t>5） 本期实际核销的应收股利情况</w:t>
      </w:r>
      <w:bookmarkEnd w:id="22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r>
    </w:tbl>
    <w:p>
      <w:pPr>
        <w:spacing w:before="0" w:after="0" w:line="240" w:lineRule="exact"/>
        <w:jc w:val="left"/>
        <w:rPr>
          <w:rFonts w:ascii="宋体" w:hAnsi="宋体" w:eastAsia="宋体" w:cs="宋体"/>
          <w:sz w:val="18"/>
          <w:szCs w:val="18"/>
        </w:rPr>
      </w:pPr>
      <w:r>
        <w:rPr>
          <w:rFonts w:ascii="宋体" w:hAnsi="宋体" w:eastAsia="宋体" w:cs="宋体"/>
          <w:sz w:val="18"/>
          <w:szCs w:val="18"/>
        </w:rPr>
        <w:t>其中重要的应收股利核销情况</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款项是否由关联交易产生</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核销说明：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226" w:name="_Toc989115"/>
      <w:r>
        <w:rPr>
          <w:rFonts w:ascii="宋体" w:hAnsi="宋体" w:eastAsia="宋体" w:cs="宋体"/>
          <w:b/>
          <w:bCs/>
          <w:sz w:val="21"/>
          <w:szCs w:val="21"/>
        </w:rPr>
        <w:t>（3） 其他应收款</w:t>
      </w:r>
      <w:bookmarkEnd w:id="226"/>
    </w:p>
    <w:p>
      <w:pPr>
        <w:keepNext/>
        <w:keepLines/>
        <w:spacing w:before="300" w:after="300" w:line="280" w:lineRule="exact"/>
        <w:jc w:val="left"/>
        <w:outlineLvl w:val="4"/>
        <w:rPr>
          <w:rFonts w:ascii="宋体" w:hAnsi="宋体" w:eastAsia="宋体" w:cs="宋体"/>
          <w:b/>
          <w:bCs/>
          <w:sz w:val="18"/>
          <w:szCs w:val="18"/>
        </w:rPr>
      </w:pPr>
      <w:bookmarkStart w:id="227" w:name="_Toc989116"/>
      <w:r>
        <w:rPr>
          <w:rFonts w:ascii="宋体" w:hAnsi="宋体" w:eastAsia="宋体" w:cs="宋体"/>
          <w:b/>
          <w:bCs/>
          <w:sz w:val="18"/>
          <w:szCs w:val="18"/>
        </w:rPr>
        <w:t>1） 其他应收款按款项性质分类情况</w:t>
      </w:r>
      <w:bookmarkEnd w:id="22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款项性质</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期末账面余额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期初账面余额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押金、保证金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106,022,528.69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117,468,431.78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116,598,557.33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104,849,732.68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4,436,604.43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3,409,468.29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227,057,690.45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225,727,632.75</w:t>
            </w:r>
          </w:p>
        </w:tc>
      </w:tr>
    </w:tbl>
    <w:p>
      <w:pPr>
        <w:keepNext/>
        <w:keepLines/>
        <w:spacing w:before="300" w:after="300" w:line="280" w:lineRule="exact"/>
        <w:jc w:val="left"/>
        <w:outlineLvl w:val="4"/>
        <w:rPr>
          <w:rFonts w:ascii="宋体" w:hAnsi="宋体" w:eastAsia="宋体" w:cs="宋体"/>
          <w:b/>
          <w:bCs/>
          <w:sz w:val="18"/>
          <w:szCs w:val="18"/>
        </w:rPr>
      </w:pPr>
      <w:bookmarkStart w:id="228" w:name="_Toc989117"/>
      <w:r>
        <w:rPr>
          <w:rFonts w:ascii="宋体" w:hAnsi="宋体" w:eastAsia="宋体" w:cs="宋体"/>
          <w:b/>
          <w:bCs/>
          <w:sz w:val="18"/>
          <w:szCs w:val="18"/>
        </w:rPr>
        <w:t>2） 按账龄披露</w:t>
      </w:r>
      <w:bookmarkEnd w:id="228"/>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账龄</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期末账面余额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期初账面余额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1年以内（含1年）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19,947,473.14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58,375,780.25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1至2年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52,007,679.53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102,079,450.02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2至3年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94,410,105.11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4,459,747.85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3年以上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60,692,432.67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60,812,654.63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3至4年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3,385,966.66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8,083,480.94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4至5年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7,421,940.80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4,737,787.93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5年以上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49,884,525.21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47,991,385.76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227,057,690.45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225,727,632.75</w:t>
            </w:r>
          </w:p>
        </w:tc>
      </w:tr>
    </w:tbl>
    <w:p>
      <w:pPr>
        <w:keepNext/>
        <w:keepLines/>
        <w:spacing w:before="300" w:after="300" w:line="280" w:lineRule="exact"/>
        <w:jc w:val="left"/>
        <w:outlineLvl w:val="4"/>
        <w:rPr>
          <w:rFonts w:ascii="宋体" w:hAnsi="宋体" w:eastAsia="宋体" w:cs="宋体"/>
          <w:b/>
          <w:bCs/>
          <w:sz w:val="18"/>
          <w:szCs w:val="18"/>
        </w:rPr>
      </w:pPr>
      <w:bookmarkStart w:id="229" w:name="_Toc989118"/>
      <w:r>
        <w:rPr>
          <w:rFonts w:ascii="宋体" w:hAnsi="宋体" w:eastAsia="宋体" w:cs="宋体"/>
          <w:b/>
          <w:bCs/>
          <w:sz w:val="18"/>
          <w:szCs w:val="18"/>
        </w:rPr>
        <w:t>3） 按坏账计提方法分类披露</w:t>
      </w:r>
      <w:bookmarkEnd w:id="229"/>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按单项计提坏账准备</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23,218,282.78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23,218,282.78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23,218,282.78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23,218,282.78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按组合计提坏账准备</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203,839,407.67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89.77%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50,426,128.78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24.74%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153,413,278.89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202,509,349.97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89.71%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51,399,346.64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25.38%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151,110,003.33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账龄组合</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178,280,803.84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78.52%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50,426,128.78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28.28%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127,854,675.06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74,644,509.12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33.07%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51,399,346.64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68.86%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132,989,431.33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低风险组合</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25,558,603.83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25,558,603.83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127,864,840.85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56.64%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18,120,572.00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其他组合</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227,057,690.45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73,644,411.56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32.43%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153,413,278.89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225,727,632.75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74,617,629.42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33.06%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151,110,003.33</w:t>
            </w:r>
          </w:p>
        </w:tc>
      </w:tr>
    </w:tbl>
    <w:p>
      <w:pPr>
        <w:spacing w:before="0" w:after="0" w:line="240" w:lineRule="exact"/>
        <w:jc w:val="left"/>
        <w:rPr>
          <w:rFonts w:ascii="宋体" w:hAnsi="宋体" w:eastAsia="宋体" w:cs="宋体"/>
          <w:sz w:val="18"/>
          <w:szCs w:val="18"/>
        </w:rPr>
      </w:pPr>
      <w:r>
        <w:rPr>
          <w:rFonts w:ascii="宋体" w:hAnsi="宋体" w:eastAsia="宋体" w:cs="宋体"/>
          <w:sz w:val="18"/>
          <w:szCs w:val="18"/>
        </w:rPr>
        <w:t>按单项计提坏账准备类别名称：</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计提理由</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长春市双阳区 人民政府奢岭 街道办事处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18,965,858.00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18,965,858.00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18,965,858.00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18,965,858.00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预计无法收回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18,965,858.00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18,965,858.00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18,965,858.00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18,965,858.00</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0" w:after="0" w:line="240" w:lineRule="exact"/>
        <w:jc w:val="left"/>
        <w:rPr>
          <w:rFonts w:ascii="宋体" w:hAnsi="宋体" w:eastAsia="宋体" w:cs="宋体"/>
          <w:sz w:val="18"/>
          <w:szCs w:val="18"/>
        </w:rPr>
      </w:pPr>
      <w:r>
        <w:rPr>
          <w:rFonts w:ascii="宋体" w:hAnsi="宋体" w:eastAsia="宋体" w:cs="宋体"/>
          <w:sz w:val="18"/>
          <w:szCs w:val="18"/>
        </w:rPr>
        <w:t>按预期信用损失一般模型计提坏账准备：</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第一阶段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第二阶段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第三阶段</w:t>
            </w:r>
          </w:p>
        </w:tc>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未来12个月预期信用损失</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整个存续期预期信用损失（未发生信用减值）</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整个存续期预期信用损失（已发生信用减值）</w:t>
            </w:r>
          </w:p>
        </w:tc>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2024年1月1日余额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663,082.64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568,372.78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73,386,174.00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74,617,629.42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2024年1月1日余额在本期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本期转回</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973,217.86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973,217.86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2024年6月30日余额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1,717,975.70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5,459,191.08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66,467,244.78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73,644,411.56</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各阶段划分依据和坏账准备计提比例</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损失准备本期变动金额重大的账面余额变动情况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4"/>
        <w:rPr>
          <w:rFonts w:ascii="宋体" w:hAnsi="宋体" w:eastAsia="宋体" w:cs="宋体"/>
          <w:b/>
          <w:bCs/>
          <w:sz w:val="18"/>
          <w:szCs w:val="18"/>
        </w:rPr>
      </w:pPr>
      <w:bookmarkStart w:id="230" w:name="_Toc989119"/>
      <w:r>
        <w:rPr>
          <w:rFonts w:ascii="宋体" w:hAnsi="宋体" w:eastAsia="宋体" w:cs="宋体"/>
          <w:b/>
          <w:bCs/>
          <w:sz w:val="18"/>
          <w:szCs w:val="18"/>
        </w:rPr>
        <w:t>4） 本期计提、收回或转回的坏账准备情况</w:t>
      </w:r>
      <w:bookmarkEnd w:id="230"/>
    </w:p>
    <w:p>
      <w:pPr>
        <w:spacing w:before="0" w:after="0" w:line="240" w:lineRule="exact"/>
        <w:jc w:val="left"/>
        <w:rPr>
          <w:rFonts w:ascii="宋体" w:hAnsi="宋体" w:eastAsia="宋体" w:cs="宋体"/>
          <w:sz w:val="18"/>
          <w:szCs w:val="18"/>
        </w:rPr>
      </w:pPr>
      <w:r>
        <w:rPr>
          <w:rFonts w:ascii="宋体" w:hAnsi="宋体" w:eastAsia="宋体" w:cs="宋体"/>
          <w:sz w:val="18"/>
          <w:szCs w:val="18"/>
        </w:rPr>
        <w:t>本期计提坏账准备情况：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转销或核销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其他应收款</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74,617,629.42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973,217.86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73,644,411.56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74,617,629.42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973,217.86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73,644,411.56</w:t>
            </w:r>
          </w:p>
        </w:tc>
      </w:tr>
    </w:tbl>
    <w:p>
      <w:pPr>
        <w:spacing w:before="100" w:after="100" w:line="0" w:lineRule="exact"/>
        <w:jc w:val="left"/>
      </w:pP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其中本期坏账准备转回或收回金额重要的：</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确定原坏账准备计提比例的依据及其合理性</w:t>
            </w:r>
          </w:p>
        </w:tc>
      </w:tr>
    </w:tbl>
    <w:p>
      <w:pPr>
        <w:spacing w:before="100" w:after="100" w:line="0" w:lineRule="exact"/>
        <w:jc w:val="left"/>
      </w:pPr>
    </w:p>
    <w:p>
      <w:pPr>
        <w:keepNext/>
        <w:keepLines/>
        <w:spacing w:before="300" w:after="300" w:line="280" w:lineRule="exact"/>
        <w:jc w:val="left"/>
        <w:outlineLvl w:val="4"/>
        <w:rPr>
          <w:rFonts w:ascii="宋体" w:hAnsi="宋体" w:eastAsia="宋体" w:cs="宋体"/>
          <w:b/>
          <w:bCs/>
          <w:sz w:val="18"/>
          <w:szCs w:val="18"/>
        </w:rPr>
      </w:pPr>
      <w:bookmarkStart w:id="231" w:name="_Toc989120"/>
      <w:r>
        <w:rPr>
          <w:rFonts w:ascii="宋体" w:hAnsi="宋体" w:eastAsia="宋体" w:cs="宋体"/>
          <w:b/>
          <w:bCs/>
          <w:sz w:val="18"/>
          <w:szCs w:val="18"/>
        </w:rPr>
        <w:t>5） 本期实际核销的其他应收款情况</w:t>
      </w:r>
      <w:bookmarkEnd w:id="23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其中重要的其他应收款核销情况：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其他应收款性质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款项是否由关联交易产生</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其他应收款核销说明：</w:t>
      </w:r>
    </w:p>
    <w:p>
      <w:pPr>
        <w:keepNext/>
        <w:keepLines/>
        <w:spacing w:before="300" w:after="300" w:line="280" w:lineRule="exact"/>
        <w:jc w:val="left"/>
        <w:outlineLvl w:val="4"/>
        <w:rPr>
          <w:rFonts w:ascii="宋体" w:hAnsi="宋体" w:eastAsia="宋体" w:cs="宋体"/>
          <w:b/>
          <w:bCs/>
          <w:sz w:val="18"/>
          <w:szCs w:val="18"/>
        </w:rPr>
      </w:pPr>
      <w:bookmarkStart w:id="232" w:name="_Toc989121"/>
      <w:r>
        <w:rPr>
          <w:rFonts w:ascii="宋体" w:hAnsi="宋体" w:eastAsia="宋体" w:cs="宋体"/>
          <w:b/>
          <w:bCs/>
          <w:sz w:val="18"/>
          <w:szCs w:val="18"/>
        </w:rPr>
        <w:t>6） 按欠款方归集的期末余额前五名的其他应收款情况</w:t>
      </w:r>
      <w:bookmarkEnd w:id="23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款项的性质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账龄</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占其他应收款期末余额合计数的比例</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白城东升城市基础设施建设有限公司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保证金</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83,000,000.00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2-3年</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36.55%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花旗银行</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33,156,189.32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5年以上</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14.60%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33,156,189.32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长春市双阳区人民政府奢岭街道办事处</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18,965,858.00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1-2年</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18,965,858.00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白城市能源投资开发有限公司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保证金</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1-2年</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阳光电源股份有限公司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8,443,013.72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1-2年</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422,150.68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153,565,061.04</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67.62%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52,544,198.00</w:t>
            </w:r>
          </w:p>
        </w:tc>
      </w:tr>
    </w:tbl>
    <w:p>
      <w:pPr>
        <w:keepNext/>
        <w:keepLines/>
        <w:spacing w:before="300" w:after="300" w:line="280" w:lineRule="exact"/>
        <w:jc w:val="left"/>
        <w:outlineLvl w:val="4"/>
        <w:rPr>
          <w:rFonts w:ascii="宋体" w:hAnsi="宋体" w:eastAsia="宋体" w:cs="宋体"/>
          <w:b/>
          <w:bCs/>
          <w:sz w:val="21"/>
          <w:szCs w:val="21"/>
        </w:rPr>
      </w:pPr>
      <w:bookmarkStart w:id="233" w:name="_Toc989122"/>
      <w:r>
        <w:rPr>
          <w:rFonts w:ascii="宋体" w:hAnsi="宋体" w:eastAsia="宋体" w:cs="宋体"/>
          <w:b/>
          <w:bCs/>
          <w:sz w:val="21"/>
          <w:szCs w:val="21"/>
        </w:rPr>
        <w:t>7） 因资金集中管理而列报于其他应收款</w:t>
      </w:r>
      <w:bookmarkEnd w:id="23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34" w:name="_Toc989123"/>
      <w:r>
        <w:rPr>
          <w:rFonts w:ascii="宋体" w:hAnsi="宋体" w:eastAsia="宋体" w:cs="宋体"/>
          <w:b/>
          <w:bCs/>
          <w:sz w:val="21"/>
          <w:szCs w:val="21"/>
        </w:rPr>
        <w:t>9、预付款项</w:t>
      </w:r>
      <w:bookmarkEnd w:id="234"/>
    </w:p>
    <w:p>
      <w:pPr>
        <w:keepNext/>
        <w:keepLines/>
        <w:spacing w:before="300" w:after="300" w:line="280" w:lineRule="exact"/>
        <w:jc w:val="left"/>
        <w:outlineLvl w:val="3"/>
        <w:rPr>
          <w:rFonts w:ascii="宋体" w:hAnsi="宋体" w:eastAsia="宋体" w:cs="宋体"/>
          <w:b/>
          <w:bCs/>
          <w:sz w:val="21"/>
          <w:szCs w:val="21"/>
        </w:rPr>
      </w:pPr>
      <w:bookmarkStart w:id="235" w:name="_Toc989124"/>
      <w:r>
        <w:rPr>
          <w:rFonts w:ascii="宋体" w:hAnsi="宋体" w:eastAsia="宋体" w:cs="宋体"/>
          <w:b/>
          <w:bCs/>
          <w:sz w:val="21"/>
          <w:szCs w:val="21"/>
        </w:rPr>
        <w:t>（1） 预付款项按账龄列示</w:t>
      </w:r>
      <w:bookmarkEnd w:id="23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账龄</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1年以内</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231,513,076.12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86.20%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248,061,330.02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1至2年</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32,642,513.11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5,673,474.87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2至3年</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3,927,483.63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2,145,563.59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3年以上</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484,152.99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0.18%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71,441.39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268,567,225.85</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255,951,809.87</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账龄超过1年且金额重要的预付款项未及时结算原因的说明：</w:t>
      </w:r>
    </w:p>
    <w:p>
      <w:pPr>
        <w:pStyle w:val="5"/>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按欠款方归集的期末余额前五名的预付款项情况</w:t>
      </w:r>
    </w:p>
    <w:tbl>
      <w:tblPr>
        <w:tblStyle w:val="6"/>
        <w:tblW w:w="985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4199"/>
        <w:gridCol w:w="2185"/>
        <w:gridCol w:w="2016"/>
        <w:gridCol w:w="14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419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100" w:beforeAutospacing="0" w:after="100" w:afterAutospacing="0" w:line="300" w:lineRule="auto"/>
              <w:ind w:left="0" w:right="0" w:firstLine="210"/>
              <w:jc w:val="left"/>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债务人名称</w:t>
            </w:r>
          </w:p>
        </w:tc>
        <w:tc>
          <w:tcPr>
            <w:tcW w:w="218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100" w:beforeAutospacing="0" w:after="100" w:afterAutospacing="0"/>
              <w:ind w:left="0" w:right="0"/>
              <w:jc w:val="center"/>
              <w:rPr>
                <w:rFonts w:hint="default" w:ascii="Times New Roman" w:hAnsi="Times New Roman" w:cs="Times New Roman"/>
                <w:sz w:val="24"/>
                <w:szCs w:val="24"/>
              </w:rPr>
            </w:pPr>
            <w:r>
              <w:rPr>
                <w:rFonts w:hint="eastAsia" w:ascii="宋体" w:hAnsi="宋体" w:eastAsia="宋体" w:cs="宋体"/>
                <w:sz w:val="18"/>
                <w:szCs w:val="18"/>
              </w:rPr>
              <w:t>账面余额</w:t>
            </w:r>
          </w:p>
        </w:tc>
        <w:tc>
          <w:tcPr>
            <w:tcW w:w="201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100" w:beforeAutospacing="0" w:after="100" w:afterAutospacing="0"/>
              <w:ind w:left="0" w:right="0"/>
              <w:jc w:val="center"/>
              <w:rPr>
                <w:rFonts w:hint="default" w:ascii="Times New Roman" w:hAnsi="Times New Roman" w:cs="Times New Roman"/>
                <w:sz w:val="24"/>
                <w:szCs w:val="24"/>
              </w:rPr>
            </w:pPr>
            <w:r>
              <w:rPr>
                <w:rFonts w:hint="eastAsia" w:ascii="宋体" w:hAnsi="宋体" w:eastAsia="宋体" w:cs="宋体"/>
                <w:sz w:val="18"/>
                <w:szCs w:val="18"/>
              </w:rPr>
              <w:t>占预付款项合计的比例（%）</w:t>
            </w:r>
          </w:p>
        </w:tc>
        <w:tc>
          <w:tcPr>
            <w:tcW w:w="145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100" w:beforeAutospacing="0" w:after="100" w:afterAutospacing="0"/>
              <w:ind w:left="0" w:right="0"/>
              <w:jc w:val="center"/>
              <w:rPr>
                <w:rFonts w:hint="default" w:ascii="Times New Roman" w:hAnsi="Times New Roman" w:cs="Times New Roman"/>
                <w:sz w:val="24"/>
                <w:szCs w:val="24"/>
              </w:rPr>
            </w:pPr>
            <w:r>
              <w:rPr>
                <w:rFonts w:hint="eastAsia" w:ascii="宋体" w:hAnsi="宋体" w:eastAsia="宋体" w:cs="宋体"/>
                <w:sz w:val="18"/>
                <w:szCs w:val="18"/>
              </w:rPr>
              <w:t>坏账准备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419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通辽铁盛商贸（集团）有限公司</w:t>
            </w:r>
          </w:p>
        </w:tc>
        <w:tc>
          <w:tcPr>
            <w:tcW w:w="21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default" w:ascii="Times New Roman" w:hAnsi="Times New Roman" w:cs="Times New Roman"/>
                <w:i w:val="0"/>
                <w:color w:val="000000"/>
                <w:sz w:val="18"/>
                <w:szCs w:val="18"/>
              </w:rPr>
              <w:t>102,544,012.14</w:t>
            </w:r>
          </w:p>
        </w:tc>
        <w:tc>
          <w:tcPr>
            <w:tcW w:w="20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default" w:ascii="Times New Roman" w:hAnsi="Times New Roman" w:cs="Times New Roman"/>
                <w:i w:val="0"/>
                <w:color w:val="000000"/>
                <w:sz w:val="18"/>
                <w:szCs w:val="18"/>
              </w:rPr>
              <w:t>38.18</w:t>
            </w:r>
          </w:p>
        </w:tc>
        <w:tc>
          <w:tcPr>
            <w:tcW w:w="14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100" w:beforeAutospacing="0" w:after="100" w:afterAutospacing="0"/>
              <w:ind w:left="0" w:right="0"/>
              <w:jc w:val="right"/>
              <w:rPr>
                <w:rFonts w:hint="default" w:ascii="Times New Roman" w:hAnsi="Times New Roman" w:cs="Times New Roman"/>
                <w:sz w:val="24"/>
                <w:szCs w:val="24"/>
              </w:rPr>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419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电能易购（北京）科技有限公司</w:t>
            </w:r>
          </w:p>
        </w:tc>
        <w:tc>
          <w:tcPr>
            <w:tcW w:w="21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default" w:ascii="Times New Roman" w:hAnsi="Times New Roman" w:cs="Times New Roman"/>
                <w:i w:val="0"/>
                <w:color w:val="000000"/>
                <w:sz w:val="18"/>
                <w:szCs w:val="18"/>
              </w:rPr>
              <w:t>26,745,545.56</w:t>
            </w:r>
          </w:p>
        </w:tc>
        <w:tc>
          <w:tcPr>
            <w:tcW w:w="20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default" w:ascii="Times New Roman" w:hAnsi="Times New Roman" w:cs="Times New Roman"/>
                <w:i w:val="0"/>
                <w:color w:val="000000"/>
                <w:sz w:val="18"/>
                <w:szCs w:val="18"/>
              </w:rPr>
              <w:t>9.96</w:t>
            </w:r>
          </w:p>
        </w:tc>
        <w:tc>
          <w:tcPr>
            <w:tcW w:w="14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100" w:beforeAutospacing="0" w:after="100" w:afterAutospacing="0"/>
              <w:ind w:left="0" w:right="0"/>
              <w:jc w:val="right"/>
              <w:rPr>
                <w:rFonts w:hint="default" w:ascii="Times New Roman" w:hAnsi="Times New Roman" w:cs="Times New Roman"/>
                <w:sz w:val="24"/>
                <w:szCs w:val="24"/>
              </w:rPr>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419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国家电力投资集团有限公司</w:t>
            </w:r>
          </w:p>
        </w:tc>
        <w:tc>
          <w:tcPr>
            <w:tcW w:w="21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default" w:ascii="Times New Roman" w:hAnsi="Times New Roman" w:cs="Times New Roman"/>
                <w:i w:val="0"/>
                <w:color w:val="000000"/>
                <w:sz w:val="18"/>
                <w:szCs w:val="18"/>
              </w:rPr>
              <w:t>24,609,231.37</w:t>
            </w:r>
          </w:p>
        </w:tc>
        <w:tc>
          <w:tcPr>
            <w:tcW w:w="20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default" w:ascii="Times New Roman" w:hAnsi="Times New Roman" w:cs="Times New Roman"/>
                <w:i w:val="0"/>
                <w:color w:val="000000"/>
                <w:sz w:val="18"/>
                <w:szCs w:val="18"/>
              </w:rPr>
              <w:t>9.16</w:t>
            </w:r>
          </w:p>
        </w:tc>
        <w:tc>
          <w:tcPr>
            <w:tcW w:w="14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100" w:beforeAutospacing="0" w:after="100" w:afterAutospacing="0"/>
              <w:ind w:left="0" w:right="0"/>
              <w:jc w:val="right"/>
              <w:rPr>
                <w:rFonts w:hint="default" w:ascii="Times New Roman" w:hAnsi="Times New Roman" w:cs="Times New Roman"/>
                <w:sz w:val="24"/>
                <w:szCs w:val="24"/>
              </w:rPr>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419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内蒙古阜矿煤炭销售有限公司</w:t>
            </w:r>
          </w:p>
        </w:tc>
        <w:tc>
          <w:tcPr>
            <w:tcW w:w="21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default" w:ascii="Times New Roman" w:hAnsi="Times New Roman" w:cs="Times New Roman"/>
                <w:i w:val="0"/>
                <w:color w:val="000000"/>
                <w:sz w:val="18"/>
                <w:szCs w:val="18"/>
              </w:rPr>
              <w:t>8,341,343.65</w:t>
            </w:r>
          </w:p>
        </w:tc>
        <w:tc>
          <w:tcPr>
            <w:tcW w:w="20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default" w:ascii="Times New Roman" w:hAnsi="Times New Roman" w:cs="Times New Roman"/>
                <w:i w:val="0"/>
                <w:color w:val="000000"/>
                <w:sz w:val="18"/>
                <w:szCs w:val="18"/>
              </w:rPr>
              <w:t>3.11</w:t>
            </w:r>
          </w:p>
        </w:tc>
        <w:tc>
          <w:tcPr>
            <w:tcW w:w="14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100" w:beforeAutospacing="0" w:after="100" w:afterAutospacing="0"/>
              <w:ind w:left="0" w:right="0"/>
              <w:jc w:val="right"/>
              <w:rPr>
                <w:rFonts w:hint="default" w:ascii="Times New Roman" w:hAnsi="Times New Roman" w:cs="Times New Roman"/>
                <w:sz w:val="24"/>
                <w:szCs w:val="24"/>
              </w:rPr>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419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辽宁华林建筑安装工程有限公司</w:t>
            </w:r>
          </w:p>
        </w:tc>
        <w:tc>
          <w:tcPr>
            <w:tcW w:w="21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default" w:ascii="Times New Roman" w:hAnsi="Times New Roman" w:cs="Times New Roman"/>
                <w:i w:val="0"/>
                <w:color w:val="000000"/>
                <w:sz w:val="18"/>
                <w:szCs w:val="18"/>
              </w:rPr>
              <w:t>7,845,831.51</w:t>
            </w:r>
          </w:p>
        </w:tc>
        <w:tc>
          <w:tcPr>
            <w:tcW w:w="20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default" w:ascii="Times New Roman" w:hAnsi="Times New Roman" w:cs="Times New Roman"/>
                <w:i w:val="0"/>
                <w:color w:val="000000"/>
                <w:sz w:val="18"/>
                <w:szCs w:val="18"/>
              </w:rPr>
              <w:t>2.92</w:t>
            </w:r>
          </w:p>
        </w:tc>
        <w:tc>
          <w:tcPr>
            <w:tcW w:w="14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100" w:beforeAutospacing="0" w:after="100" w:afterAutospacing="0"/>
              <w:ind w:left="0" w:right="0"/>
              <w:jc w:val="right"/>
              <w:rPr>
                <w:rFonts w:hint="default" w:ascii="Times New Roman" w:hAnsi="Times New Roman" w:cs="Times New Roman"/>
                <w:sz w:val="24"/>
                <w:szCs w:val="24"/>
              </w:rPr>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419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小</w:t>
            </w:r>
            <w:r>
              <w:rPr>
                <w:rFonts w:hint="eastAsia" w:ascii="宋体" w:hAnsi="宋体" w:eastAsia="宋体" w:cs="宋体"/>
                <w:color w:val="000000"/>
                <w:sz w:val="18"/>
                <w:szCs w:val="18"/>
              </w:rPr>
              <w:t>计</w:t>
            </w:r>
          </w:p>
        </w:tc>
        <w:tc>
          <w:tcPr>
            <w:tcW w:w="21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default" w:ascii="Times New Roman" w:hAnsi="Times New Roman" w:cs="Times New Roman"/>
                <w:i w:val="0"/>
                <w:color w:val="000000"/>
                <w:sz w:val="18"/>
                <w:szCs w:val="18"/>
              </w:rPr>
              <w:t>170,085,964.23</w:t>
            </w:r>
          </w:p>
        </w:tc>
        <w:tc>
          <w:tcPr>
            <w:tcW w:w="20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default" w:ascii="Times New Roman" w:hAnsi="Times New Roman" w:cs="Times New Roman"/>
                <w:i w:val="0"/>
                <w:color w:val="000000"/>
                <w:sz w:val="18"/>
                <w:szCs w:val="18"/>
              </w:rPr>
              <w:t>63.33</w:t>
            </w:r>
          </w:p>
        </w:tc>
        <w:tc>
          <w:tcPr>
            <w:tcW w:w="14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100" w:beforeAutospacing="0" w:after="100" w:afterAutospacing="0"/>
              <w:ind w:left="0" w:right="0"/>
              <w:jc w:val="right"/>
              <w:rPr>
                <w:rFonts w:hint="default" w:ascii="Times New Roman" w:hAnsi="Times New Roman" w:cs="Times New Roman"/>
                <w:sz w:val="24"/>
                <w:szCs w:val="24"/>
              </w:rPr>
            </w:pPr>
            <w:r>
              <w:rPr>
                <w:rFonts w:hint="eastAsia" w:ascii="宋体" w:hAnsi="宋体" w:eastAsia="宋体" w:cs="宋体"/>
                <w:sz w:val="18"/>
                <w:szCs w:val="18"/>
              </w:rPr>
              <w:t> </w:t>
            </w:r>
          </w:p>
        </w:tc>
      </w:tr>
    </w:tbl>
    <w:p>
      <w:pPr>
        <w:keepNext/>
        <w:keepLines/>
        <w:spacing w:before="300" w:after="300" w:line="280" w:lineRule="exact"/>
        <w:jc w:val="left"/>
        <w:outlineLvl w:val="3"/>
        <w:rPr>
          <w:rFonts w:ascii="宋体" w:hAnsi="宋体" w:eastAsia="宋体" w:cs="宋体"/>
          <w:b/>
          <w:bCs/>
          <w:sz w:val="21"/>
          <w:szCs w:val="21"/>
        </w:rPr>
      </w:pPr>
      <w:bookmarkStart w:id="236" w:name="_Toc989125"/>
      <w:r>
        <w:rPr>
          <w:rFonts w:ascii="宋体" w:hAnsi="宋体" w:eastAsia="宋体" w:cs="宋体"/>
          <w:b/>
          <w:bCs/>
          <w:sz w:val="21"/>
          <w:szCs w:val="21"/>
        </w:rPr>
        <w:t>（2） 按预付对象归集的期末余额前五名的预付款情况</w:t>
      </w:r>
      <w:bookmarkEnd w:id="236"/>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37" w:name="_Toc989126"/>
      <w:r>
        <w:rPr>
          <w:rFonts w:ascii="宋体" w:hAnsi="宋体" w:eastAsia="宋体" w:cs="宋体"/>
          <w:b/>
          <w:bCs/>
          <w:sz w:val="21"/>
          <w:szCs w:val="21"/>
        </w:rPr>
        <w:t>10、存货</w:t>
      </w:r>
      <w:bookmarkEnd w:id="237"/>
    </w:p>
    <w:p>
      <w:pPr>
        <w:spacing w:before="0" w:after="0" w:line="240" w:lineRule="exact"/>
        <w:jc w:val="left"/>
        <w:rPr>
          <w:rFonts w:ascii="宋体" w:hAnsi="宋体" w:eastAsia="宋体" w:cs="宋体"/>
          <w:sz w:val="18"/>
          <w:szCs w:val="18"/>
        </w:rPr>
      </w:pPr>
      <w:r>
        <w:rPr>
          <w:rFonts w:ascii="宋体" w:hAnsi="宋体" w:eastAsia="宋体" w:cs="宋体"/>
          <w:sz w:val="18"/>
          <w:szCs w:val="18"/>
        </w:rPr>
        <w:t>公司是否需要遵守房地产行业的披露要求</w:t>
      </w:r>
    </w:p>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p>
      <w:pPr>
        <w:keepNext/>
        <w:keepLines/>
        <w:spacing w:before="300" w:after="300" w:line="280" w:lineRule="exact"/>
        <w:jc w:val="left"/>
        <w:outlineLvl w:val="3"/>
        <w:rPr>
          <w:rFonts w:ascii="宋体" w:hAnsi="宋体" w:eastAsia="宋体" w:cs="宋体"/>
          <w:b/>
          <w:bCs/>
          <w:sz w:val="21"/>
          <w:szCs w:val="21"/>
        </w:rPr>
      </w:pPr>
      <w:bookmarkStart w:id="238" w:name="_Toc989127"/>
      <w:r>
        <w:rPr>
          <w:rFonts w:ascii="宋体" w:hAnsi="宋体" w:eastAsia="宋体" w:cs="宋体"/>
          <w:b/>
          <w:bCs/>
          <w:sz w:val="21"/>
          <w:szCs w:val="21"/>
        </w:rPr>
        <w:t>（1） 存货分类</w:t>
      </w:r>
      <w:bookmarkEnd w:id="23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存货跌价准备或合同履约成本减值准备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存货跌价准备或合同履约成本减值准备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原材料</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288,072,792.74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5,942,419.01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282,130,373.73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144,408,619.38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6,666,008.32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137,742,611.06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库存商品</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799,157.98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799,157.98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3,408,310.79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3,408,310.79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288,871,950.72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5,942,419.01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282,929,531.71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147,816,930.17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6,666,008.32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141,150,921.85</w:t>
            </w:r>
          </w:p>
        </w:tc>
      </w:tr>
    </w:tbl>
    <w:p>
      <w:pPr>
        <w:keepNext/>
        <w:keepLines/>
        <w:spacing w:before="300" w:after="300" w:line="280" w:lineRule="exact"/>
        <w:jc w:val="left"/>
        <w:outlineLvl w:val="3"/>
        <w:rPr>
          <w:rFonts w:ascii="宋体" w:hAnsi="宋体" w:eastAsia="宋体" w:cs="宋体"/>
          <w:b/>
          <w:bCs/>
          <w:sz w:val="21"/>
          <w:szCs w:val="21"/>
        </w:rPr>
      </w:pPr>
      <w:bookmarkStart w:id="239" w:name="_Toc989128"/>
      <w:r>
        <w:rPr>
          <w:rFonts w:ascii="宋体" w:hAnsi="宋体" w:eastAsia="宋体" w:cs="宋体"/>
          <w:b/>
          <w:bCs/>
          <w:sz w:val="21"/>
          <w:szCs w:val="21"/>
        </w:rPr>
        <w:t>（2） 确认为存货的数据资源</w:t>
      </w:r>
      <w:bookmarkEnd w:id="23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外购的数据资源存货</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自行加工的数据资源存货</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其他方式取得的数据资源存货</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bl>
    <w:p>
      <w:pPr>
        <w:keepNext/>
        <w:keepLines/>
        <w:spacing w:before="300" w:after="300" w:line="280" w:lineRule="exact"/>
        <w:jc w:val="left"/>
        <w:outlineLvl w:val="3"/>
        <w:rPr>
          <w:rFonts w:ascii="宋体" w:hAnsi="宋体" w:eastAsia="宋体" w:cs="宋体"/>
          <w:b/>
          <w:bCs/>
          <w:sz w:val="21"/>
          <w:szCs w:val="21"/>
        </w:rPr>
      </w:pPr>
      <w:bookmarkStart w:id="240" w:name="_Toc989129"/>
      <w:r>
        <w:rPr>
          <w:rFonts w:ascii="宋体" w:hAnsi="宋体" w:eastAsia="宋体" w:cs="宋体"/>
          <w:b/>
          <w:bCs/>
          <w:sz w:val="21"/>
          <w:szCs w:val="21"/>
        </w:rPr>
        <w:t>（3） 存货跌价准备和合同履约成本减值准备</w:t>
      </w:r>
      <w:bookmarkEnd w:id="24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本期增加金额</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转回或转销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原材料</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6,666,008.32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5,017,887.01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5,741,476.32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5,942,419.01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6,666,008.32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5,017,887.01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5,741,476.32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5,942,419.01</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按组合计提存货跌价准备</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组合名称</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跌价准备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跌价准备计提比例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跌价准备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跌价准备计提比例</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按组合计提存货跌价准备的计提标准</w:t>
      </w:r>
    </w:p>
    <w:p>
      <w:pPr>
        <w:keepNext/>
        <w:keepLines/>
        <w:spacing w:before="300" w:after="300" w:line="280" w:lineRule="exact"/>
        <w:jc w:val="left"/>
        <w:outlineLvl w:val="3"/>
        <w:rPr>
          <w:rFonts w:ascii="宋体" w:hAnsi="宋体" w:eastAsia="宋体" w:cs="宋体"/>
          <w:b/>
          <w:bCs/>
          <w:sz w:val="21"/>
          <w:szCs w:val="21"/>
        </w:rPr>
      </w:pPr>
      <w:bookmarkStart w:id="241" w:name="_Toc989130"/>
      <w:r>
        <w:rPr>
          <w:rFonts w:ascii="宋体" w:hAnsi="宋体" w:eastAsia="宋体" w:cs="宋体"/>
          <w:b/>
          <w:bCs/>
          <w:sz w:val="21"/>
          <w:szCs w:val="21"/>
        </w:rPr>
        <w:t>（4） 存货期末余额含有借款费用资本化金额的说明</w:t>
      </w:r>
      <w:bookmarkEnd w:id="241"/>
    </w:p>
    <w:p>
      <w:pPr>
        <w:keepNext/>
        <w:keepLines/>
        <w:spacing w:before="300" w:after="300" w:line="280" w:lineRule="exact"/>
        <w:jc w:val="left"/>
        <w:outlineLvl w:val="3"/>
        <w:rPr>
          <w:rFonts w:ascii="宋体" w:hAnsi="宋体" w:eastAsia="宋体" w:cs="宋体"/>
          <w:b/>
          <w:bCs/>
          <w:sz w:val="21"/>
          <w:szCs w:val="21"/>
        </w:rPr>
      </w:pPr>
      <w:bookmarkStart w:id="242" w:name="_Toc989131"/>
      <w:r>
        <w:rPr>
          <w:rFonts w:ascii="宋体" w:hAnsi="宋体" w:eastAsia="宋体" w:cs="宋体"/>
          <w:b/>
          <w:bCs/>
          <w:sz w:val="21"/>
          <w:szCs w:val="21"/>
        </w:rPr>
        <w:t>（5） 合同履约成本本期摊销金额的说明</w:t>
      </w:r>
      <w:bookmarkEnd w:id="242"/>
    </w:p>
    <w:p>
      <w:pPr>
        <w:keepNext/>
        <w:keepLines/>
        <w:spacing w:before="300" w:after="300" w:line="280" w:lineRule="exact"/>
        <w:jc w:val="left"/>
        <w:outlineLvl w:val="2"/>
        <w:rPr>
          <w:rFonts w:ascii="宋体" w:hAnsi="宋体" w:eastAsia="宋体" w:cs="宋体"/>
          <w:b/>
          <w:bCs/>
          <w:sz w:val="21"/>
          <w:szCs w:val="21"/>
        </w:rPr>
      </w:pPr>
      <w:bookmarkStart w:id="243" w:name="_Toc989132"/>
      <w:r>
        <w:rPr>
          <w:rFonts w:ascii="宋体" w:hAnsi="宋体" w:eastAsia="宋体" w:cs="宋体"/>
          <w:b/>
          <w:bCs/>
          <w:sz w:val="21"/>
          <w:szCs w:val="21"/>
        </w:rPr>
        <w:t>11、持有待售资产</w:t>
      </w:r>
      <w:bookmarkEnd w:id="24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公允价值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预计处置费用</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预计处置时间</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44" w:name="_Toc989133"/>
      <w:r>
        <w:rPr>
          <w:rFonts w:ascii="宋体" w:hAnsi="宋体" w:eastAsia="宋体" w:cs="宋体"/>
          <w:b/>
          <w:bCs/>
          <w:sz w:val="21"/>
          <w:szCs w:val="21"/>
        </w:rPr>
        <w:t>12、一年内到期的非流动资产</w:t>
      </w:r>
      <w:bookmarkEnd w:id="24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bl>
    <w:p>
      <w:pPr>
        <w:keepNext/>
        <w:keepLines/>
        <w:spacing w:before="300" w:after="300" w:line="280" w:lineRule="exact"/>
        <w:jc w:val="left"/>
        <w:outlineLvl w:val="3"/>
        <w:rPr>
          <w:rFonts w:ascii="宋体" w:hAnsi="宋体" w:eastAsia="宋体" w:cs="宋体"/>
          <w:b/>
          <w:bCs/>
          <w:sz w:val="21"/>
          <w:szCs w:val="21"/>
        </w:rPr>
      </w:pPr>
      <w:bookmarkStart w:id="245" w:name="_Toc989134"/>
      <w:r>
        <w:rPr>
          <w:rFonts w:ascii="宋体" w:hAnsi="宋体" w:eastAsia="宋体" w:cs="宋体"/>
          <w:b/>
          <w:bCs/>
          <w:sz w:val="21"/>
          <w:szCs w:val="21"/>
        </w:rPr>
        <w:t>（1） 一年内到期的债权投资</w:t>
      </w:r>
      <w:bookmarkEnd w:id="245"/>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21"/>
          <w:szCs w:val="21"/>
        </w:rPr>
      </w:pPr>
      <w:bookmarkStart w:id="246" w:name="_Toc989135"/>
      <w:r>
        <w:rPr>
          <w:rFonts w:ascii="宋体" w:hAnsi="宋体" w:eastAsia="宋体" w:cs="宋体"/>
          <w:b/>
          <w:bCs/>
          <w:sz w:val="21"/>
          <w:szCs w:val="21"/>
        </w:rPr>
        <w:t>（2） 一年内到期的其他债权投资</w:t>
      </w:r>
      <w:bookmarkEnd w:id="246"/>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247" w:name="_Toc989136"/>
      <w:r>
        <w:rPr>
          <w:rFonts w:ascii="宋体" w:hAnsi="宋体" w:eastAsia="宋体" w:cs="宋体"/>
          <w:b/>
          <w:bCs/>
          <w:sz w:val="21"/>
          <w:szCs w:val="21"/>
        </w:rPr>
        <w:t>13、其他流动资产</w:t>
      </w:r>
      <w:bookmarkEnd w:id="24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留抵的增值税进项税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795,625,405.52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880,705,999.01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预缴税金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270,096.10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3,229,285.99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预缴保险费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1,139,568.79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11,108,692.43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797,035,070.41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895,043,977.43</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48" w:name="_Toc989137"/>
      <w:r>
        <w:rPr>
          <w:rFonts w:ascii="宋体" w:hAnsi="宋体" w:eastAsia="宋体" w:cs="宋体"/>
          <w:b/>
          <w:bCs/>
          <w:sz w:val="21"/>
          <w:szCs w:val="21"/>
        </w:rPr>
        <w:t>14、债权投资</w:t>
      </w:r>
      <w:bookmarkEnd w:id="248"/>
    </w:p>
    <w:p>
      <w:pPr>
        <w:keepNext/>
        <w:keepLines/>
        <w:spacing w:before="300" w:after="300" w:line="280" w:lineRule="exact"/>
        <w:jc w:val="left"/>
        <w:outlineLvl w:val="3"/>
        <w:rPr>
          <w:rFonts w:ascii="宋体" w:hAnsi="宋体" w:eastAsia="宋体" w:cs="宋体"/>
          <w:b/>
          <w:bCs/>
          <w:sz w:val="21"/>
          <w:szCs w:val="21"/>
        </w:rPr>
      </w:pPr>
      <w:bookmarkStart w:id="249" w:name="_Toc989138"/>
      <w:r>
        <w:rPr>
          <w:rFonts w:ascii="宋体" w:hAnsi="宋体" w:eastAsia="宋体" w:cs="宋体"/>
          <w:b/>
          <w:bCs/>
          <w:sz w:val="21"/>
          <w:szCs w:val="21"/>
        </w:rPr>
        <w:t>（1） 债权投资的情况</w:t>
      </w:r>
      <w:bookmarkEnd w:id="24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债权投资减值准备本期变动情况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bl>
    <w:p>
      <w:pPr>
        <w:keepNext/>
        <w:keepLines/>
        <w:spacing w:before="300" w:after="300" w:line="280" w:lineRule="exact"/>
        <w:jc w:val="left"/>
        <w:outlineLvl w:val="3"/>
        <w:rPr>
          <w:rFonts w:ascii="宋体" w:hAnsi="宋体" w:eastAsia="宋体" w:cs="宋体"/>
          <w:b/>
          <w:bCs/>
          <w:sz w:val="21"/>
          <w:szCs w:val="21"/>
        </w:rPr>
      </w:pPr>
      <w:bookmarkStart w:id="250" w:name="_Toc989139"/>
      <w:r>
        <w:rPr>
          <w:rFonts w:ascii="宋体" w:hAnsi="宋体" w:eastAsia="宋体" w:cs="宋体"/>
          <w:b/>
          <w:bCs/>
          <w:sz w:val="21"/>
          <w:szCs w:val="21"/>
        </w:rPr>
        <w:t>（2） 期末重要的债权投资</w:t>
      </w:r>
      <w:bookmarkEnd w:id="250"/>
    </w:p>
    <w:p>
      <w:pPr>
        <w:spacing w:before="100" w:after="100" w:line="240" w:lineRule="exact"/>
        <w:jc w:val="left"/>
        <w:rPr>
          <w:rFonts w:ascii="宋体" w:hAnsi="宋体" w:eastAsia="宋体" w:cs="宋体"/>
          <w:sz w:val="18"/>
          <w:szCs w:val="18"/>
        </w:rPr>
      </w:pPr>
      <w:r>
        <w:rPr>
          <w:rFonts w:ascii="宋体" w:hAnsi="宋体" w:eastAsia="宋体" w:cs="宋体"/>
          <w:sz w:val="18"/>
          <w:szCs w:val="18"/>
        </w:rPr>
        <w:t>重要的债权投资</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债权项目</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面值</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票面利率</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实际利率</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到期日</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逾期本金</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面值</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票面利率</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实际利率</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到期日</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逾期本金</w:t>
            </w:r>
          </w:p>
        </w:tc>
      </w:tr>
    </w:tbl>
    <w:p>
      <w:pPr>
        <w:keepNext/>
        <w:keepLines/>
        <w:spacing w:before="300" w:after="300" w:line="280" w:lineRule="exact"/>
        <w:jc w:val="left"/>
        <w:outlineLvl w:val="3"/>
        <w:rPr>
          <w:rFonts w:ascii="宋体" w:hAnsi="宋体" w:eastAsia="宋体" w:cs="宋体"/>
          <w:b/>
          <w:bCs/>
          <w:sz w:val="21"/>
          <w:szCs w:val="21"/>
        </w:rPr>
      </w:pPr>
      <w:bookmarkStart w:id="251" w:name="_Toc989140"/>
      <w:r>
        <w:rPr>
          <w:rFonts w:ascii="宋体" w:hAnsi="宋体" w:eastAsia="宋体" w:cs="宋体"/>
          <w:b/>
          <w:bCs/>
          <w:sz w:val="21"/>
          <w:szCs w:val="21"/>
        </w:rPr>
        <w:t>（3） 减值准备计提情况</w:t>
      </w:r>
      <w:bookmarkEnd w:id="251"/>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第一阶段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第二阶段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第三阶段</w:t>
            </w:r>
          </w:p>
        </w:tc>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未来12个月预期信用损失</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整个存续期预期信用损失(未发生信用减值)</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整个存续期预期信用损失(已发生信用减值)</w:t>
            </w:r>
          </w:p>
        </w:tc>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2024年1月1日余额在本期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各阶段划分依据和坏账准备计提比例</w:t>
      </w:r>
    </w:p>
    <w:p>
      <w:pPr>
        <w:keepNext/>
        <w:keepLines/>
        <w:spacing w:before="300" w:after="300" w:line="280" w:lineRule="exact"/>
        <w:jc w:val="left"/>
        <w:outlineLvl w:val="3"/>
        <w:rPr>
          <w:rFonts w:ascii="宋体" w:hAnsi="宋体" w:eastAsia="宋体" w:cs="宋体"/>
          <w:b/>
          <w:bCs/>
          <w:sz w:val="21"/>
          <w:szCs w:val="21"/>
        </w:rPr>
      </w:pPr>
      <w:bookmarkStart w:id="252" w:name="_Toc989141"/>
      <w:r>
        <w:rPr>
          <w:rFonts w:ascii="宋体" w:hAnsi="宋体" w:eastAsia="宋体" w:cs="宋体"/>
          <w:b/>
          <w:bCs/>
          <w:sz w:val="21"/>
          <w:szCs w:val="21"/>
        </w:rPr>
        <w:t>（4） 本期实际核销的债权投资情况</w:t>
      </w:r>
      <w:bookmarkEnd w:id="25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其中重要的债权投资核销情况</w:t>
      </w:r>
    </w:p>
    <w:p>
      <w:pPr>
        <w:spacing w:before="0" w:after="0" w:line="0" w:lineRule="exact"/>
        <w:jc w:val="left"/>
      </w:pPr>
    </w:p>
    <w:p>
      <w:pPr>
        <w:spacing w:before="100" w:after="100" w:line="240" w:lineRule="exact"/>
        <w:jc w:val="left"/>
        <w:rPr>
          <w:rFonts w:ascii="宋体" w:hAnsi="宋体" w:eastAsia="宋体" w:cs="宋体"/>
          <w:sz w:val="18"/>
          <w:szCs w:val="18"/>
        </w:rPr>
      </w:pPr>
      <w:r>
        <w:rPr>
          <w:rFonts w:ascii="宋体" w:hAnsi="宋体" w:eastAsia="宋体" w:cs="宋体"/>
          <w:sz w:val="18"/>
          <w:szCs w:val="18"/>
        </w:rPr>
        <w:t>债权投资核销说明：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损失准备本期变动金额重大的账面余额变动情况</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53" w:name="_Toc989142"/>
      <w:r>
        <w:rPr>
          <w:rFonts w:ascii="宋体" w:hAnsi="宋体" w:eastAsia="宋体" w:cs="宋体"/>
          <w:b/>
          <w:bCs/>
          <w:sz w:val="21"/>
          <w:szCs w:val="21"/>
        </w:rPr>
        <w:t>15、其他债权投资</w:t>
      </w:r>
      <w:bookmarkEnd w:id="253"/>
    </w:p>
    <w:p>
      <w:pPr>
        <w:keepNext/>
        <w:keepLines/>
        <w:spacing w:before="300" w:after="300" w:line="280" w:lineRule="exact"/>
        <w:jc w:val="left"/>
        <w:outlineLvl w:val="3"/>
        <w:rPr>
          <w:rFonts w:ascii="宋体" w:hAnsi="宋体" w:eastAsia="宋体" w:cs="宋体"/>
          <w:b/>
          <w:bCs/>
          <w:sz w:val="21"/>
          <w:szCs w:val="21"/>
        </w:rPr>
      </w:pPr>
      <w:bookmarkStart w:id="254" w:name="_Toc989143"/>
      <w:r>
        <w:rPr>
          <w:rFonts w:ascii="宋体" w:hAnsi="宋体" w:eastAsia="宋体" w:cs="宋体"/>
          <w:b/>
          <w:bCs/>
          <w:sz w:val="21"/>
          <w:szCs w:val="21"/>
        </w:rPr>
        <w:t>（1） 其他债权投资的情况</w:t>
      </w:r>
      <w:bookmarkEnd w:id="25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4"/>
        <w:gridCol w:w="964"/>
        <w:gridCol w:w="964"/>
        <w:gridCol w:w="964"/>
        <w:gridCol w:w="964"/>
        <w:gridCol w:w="964"/>
        <w:gridCol w:w="964"/>
        <w:gridCol w:w="964"/>
        <w:gridCol w:w="964"/>
        <w:gridCol w:w="9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应计利息</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利息调整</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本期公允价值变动</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成本</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累计公允价值变动</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累计在其他综合收益中确认的减值准备</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备注</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其他债权投资减值准备本期变动情况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bl>
    <w:p>
      <w:pPr>
        <w:keepNext/>
        <w:keepLines/>
        <w:spacing w:before="300" w:after="300" w:line="280" w:lineRule="exact"/>
        <w:jc w:val="left"/>
        <w:outlineLvl w:val="3"/>
        <w:rPr>
          <w:rFonts w:ascii="宋体" w:hAnsi="宋体" w:eastAsia="宋体" w:cs="宋体"/>
          <w:b/>
          <w:bCs/>
          <w:sz w:val="21"/>
          <w:szCs w:val="21"/>
        </w:rPr>
      </w:pPr>
      <w:bookmarkStart w:id="255" w:name="_Toc989144"/>
      <w:r>
        <w:rPr>
          <w:rFonts w:ascii="宋体" w:hAnsi="宋体" w:eastAsia="宋体" w:cs="宋体"/>
          <w:b/>
          <w:bCs/>
          <w:sz w:val="21"/>
          <w:szCs w:val="21"/>
        </w:rPr>
        <w:t>（2） 期末重要的其他债权投资</w:t>
      </w:r>
      <w:bookmarkEnd w:id="255"/>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其他债权项目</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面值</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票面利率</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实际利率</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到期日</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逾期本金</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面值</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票面利率</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实际利率</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到期日</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逾期本金</w:t>
            </w:r>
          </w:p>
        </w:tc>
      </w:tr>
    </w:tbl>
    <w:p>
      <w:pPr>
        <w:keepNext/>
        <w:keepLines/>
        <w:spacing w:before="300" w:after="300" w:line="280" w:lineRule="exact"/>
        <w:jc w:val="left"/>
        <w:outlineLvl w:val="3"/>
        <w:rPr>
          <w:rFonts w:ascii="宋体" w:hAnsi="宋体" w:eastAsia="宋体" w:cs="宋体"/>
          <w:b/>
          <w:bCs/>
          <w:sz w:val="21"/>
          <w:szCs w:val="21"/>
        </w:rPr>
      </w:pPr>
      <w:bookmarkStart w:id="256" w:name="_Toc989145"/>
      <w:r>
        <w:rPr>
          <w:rFonts w:ascii="宋体" w:hAnsi="宋体" w:eastAsia="宋体" w:cs="宋体"/>
          <w:b/>
          <w:bCs/>
          <w:sz w:val="21"/>
          <w:szCs w:val="21"/>
        </w:rPr>
        <w:t>（3） 减值准备计提情况</w:t>
      </w:r>
      <w:bookmarkEnd w:id="256"/>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第一阶段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第二阶段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第三阶段</w:t>
            </w:r>
          </w:p>
        </w:tc>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未来12个月预期信用损失</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整个存续期预期信用损失(未发生信用减值)</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整个存续期预期信用损失(已发生信用减值)</w:t>
            </w:r>
          </w:p>
        </w:tc>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2024年1月1日余额在本期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各阶段划分依据和坏账准备计提比例</w:t>
      </w:r>
    </w:p>
    <w:p>
      <w:pPr>
        <w:keepNext/>
        <w:keepLines/>
        <w:spacing w:before="300" w:after="300" w:line="280" w:lineRule="exact"/>
        <w:jc w:val="left"/>
        <w:outlineLvl w:val="3"/>
        <w:rPr>
          <w:rFonts w:ascii="宋体" w:hAnsi="宋体" w:eastAsia="宋体" w:cs="宋体"/>
          <w:b/>
          <w:bCs/>
          <w:sz w:val="21"/>
          <w:szCs w:val="21"/>
        </w:rPr>
      </w:pPr>
      <w:bookmarkStart w:id="257" w:name="_Toc989146"/>
      <w:r>
        <w:rPr>
          <w:rFonts w:ascii="宋体" w:hAnsi="宋体" w:eastAsia="宋体" w:cs="宋体"/>
          <w:b/>
          <w:bCs/>
          <w:sz w:val="21"/>
          <w:szCs w:val="21"/>
        </w:rPr>
        <w:t>（4） 本期实际核销的其他债权投资情况</w:t>
      </w:r>
      <w:bookmarkEnd w:id="25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其中重要的其他债权投资核销情况</w:t>
      </w:r>
    </w:p>
    <w:p>
      <w:pPr>
        <w:spacing w:before="0" w:after="0" w:line="0" w:lineRule="exact"/>
        <w:jc w:val="left"/>
      </w:pP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其他债权投资核销说明：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损失准备本期变动金额重大的账面余额变动情况</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58" w:name="_Toc989147"/>
      <w:r>
        <w:rPr>
          <w:rFonts w:ascii="宋体" w:hAnsi="宋体" w:eastAsia="宋体" w:cs="宋体"/>
          <w:b/>
          <w:bCs/>
          <w:sz w:val="21"/>
          <w:szCs w:val="21"/>
        </w:rPr>
        <w:t>16、其他权益工具投资</w:t>
      </w:r>
      <w:bookmarkEnd w:id="25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项目名称</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本期计入其他综合收益的利得</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本期计入其他综合收益的损失</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本期末累计计入其他综合收益的利得</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本期末累计计入其他综合收益的损失</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本期确认的股利收入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指定为以公允价值计量且其变动计入其他综合收益的原因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吉林省电力科学研究院有限公司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6,510,000.00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6,510,000.00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不以出售为目的，拟长期持有该股权投资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国电投科技创新股权投资基金（天津）合伙企业（有限合伙）</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108,688,552.78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108,688,552.78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不以出售为目的，拟长期持有该股权投资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吉林电力交易中心有限公司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9,525,471.70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9,525,471.70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不以出售为目的，拟长期持有该股权投资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吉林敦化抽水蓄能有限公司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209,811,759.01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209,811,759.01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不以出售为目的，拟长期持有该股权投资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334,535,783.49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334,535,783.49</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本期存在终止确认</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转入留存收益的累计利得</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转入留存收益的累计损失</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终止确认的原因</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分项披露本期非交易性权益工具投资</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项目名称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确认的股利收入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累计利得</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累计损失</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其他综合收益转入留存收益的金额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指定为以公允价值计量且其变动计入其他综合收益的原因</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其他综合收益转入留存收益的原因</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59" w:name="_Toc989148"/>
      <w:r>
        <w:rPr>
          <w:rFonts w:ascii="宋体" w:hAnsi="宋体" w:eastAsia="宋体" w:cs="宋体"/>
          <w:b/>
          <w:bCs/>
          <w:sz w:val="21"/>
          <w:szCs w:val="21"/>
        </w:rPr>
        <w:t>17、长期应收款</w:t>
      </w:r>
      <w:bookmarkEnd w:id="259"/>
    </w:p>
    <w:p>
      <w:pPr>
        <w:keepNext/>
        <w:keepLines/>
        <w:spacing w:before="300" w:after="300" w:line="280" w:lineRule="exact"/>
        <w:jc w:val="left"/>
        <w:outlineLvl w:val="3"/>
        <w:rPr>
          <w:rFonts w:ascii="宋体" w:hAnsi="宋体" w:eastAsia="宋体" w:cs="宋体"/>
          <w:b/>
          <w:bCs/>
          <w:sz w:val="21"/>
          <w:szCs w:val="21"/>
        </w:rPr>
      </w:pPr>
      <w:bookmarkStart w:id="260" w:name="_Toc989149"/>
      <w:r>
        <w:rPr>
          <w:rFonts w:ascii="宋体" w:hAnsi="宋体" w:eastAsia="宋体" w:cs="宋体"/>
          <w:b/>
          <w:bCs/>
          <w:sz w:val="21"/>
          <w:szCs w:val="21"/>
        </w:rPr>
        <w:t>（1） 长期应收款情况</w:t>
      </w:r>
      <w:bookmarkEnd w:id="26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5"/>
        <w:gridCol w:w="1205"/>
        <w:gridCol w:w="1205"/>
        <w:gridCol w:w="1205"/>
        <w:gridCol w:w="1205"/>
        <w:gridCol w:w="1205"/>
        <w:gridCol w:w="1205"/>
        <w:gridCol w:w="12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615"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615"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折现率区间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分期收款提供劳务</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项目合作款</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126,805,090.00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126,805,090.00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129,855,090.00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129,855,090.00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133,805,090.00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126,805,090.00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136,855,090.00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129,855,090.00</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keepNext/>
        <w:keepLines/>
        <w:spacing w:before="300" w:after="300" w:line="280" w:lineRule="exact"/>
        <w:jc w:val="left"/>
        <w:outlineLvl w:val="3"/>
        <w:rPr>
          <w:rFonts w:ascii="宋体" w:hAnsi="宋体" w:eastAsia="宋体" w:cs="宋体"/>
          <w:b/>
          <w:bCs/>
          <w:sz w:val="21"/>
          <w:szCs w:val="21"/>
        </w:rPr>
      </w:pPr>
      <w:bookmarkStart w:id="261" w:name="_Toc989150"/>
      <w:r>
        <w:rPr>
          <w:rFonts w:ascii="宋体" w:hAnsi="宋体" w:eastAsia="宋体" w:cs="宋体"/>
          <w:b/>
          <w:bCs/>
          <w:sz w:val="21"/>
          <w:szCs w:val="21"/>
        </w:rPr>
        <w:t>（2） 按坏账计提方法分类披露</w:t>
      </w:r>
      <w:bookmarkEnd w:id="26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按单项计提坏账准备</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按组合计提坏账准备</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126,805,090.00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94.77%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126,805,090.00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129,855,090.00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94.89%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129,855,090.00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133,805,090.00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126,805,090.00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136,855,090.00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129,855,090.00</w:t>
            </w:r>
          </w:p>
        </w:tc>
      </w:tr>
    </w:tbl>
    <w:p>
      <w:pPr>
        <w:spacing w:before="0" w:after="0" w:line="240" w:lineRule="exact"/>
        <w:jc w:val="left"/>
        <w:rPr>
          <w:rFonts w:ascii="宋体" w:hAnsi="宋体" w:eastAsia="宋体" w:cs="宋体"/>
          <w:sz w:val="18"/>
          <w:szCs w:val="18"/>
        </w:rPr>
      </w:pPr>
      <w:r>
        <w:rPr>
          <w:rFonts w:ascii="宋体" w:hAnsi="宋体" w:eastAsia="宋体" w:cs="宋体"/>
          <w:sz w:val="18"/>
          <w:szCs w:val="18"/>
        </w:rPr>
        <w:t>按单项计提坏账准备类别名称：</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计提理由</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单项计提坏账准备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按预期信用损失一般模型计提坏账准备</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第一阶段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第二阶段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第三阶段</w:t>
            </w:r>
          </w:p>
        </w:tc>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未来12个月预期信用损失</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整个存续期预期信用损失(未发生信用减值)</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整个存续期预期信用损失(已发生信用减值)</w:t>
            </w:r>
          </w:p>
        </w:tc>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2024年1月1日余额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2024年1月1日余额在本期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2024年6月30日余额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各阶段划分依据和坏账准备计提比例</w:t>
      </w:r>
    </w:p>
    <w:p>
      <w:pPr>
        <w:keepNext/>
        <w:keepLines/>
        <w:spacing w:before="300" w:after="300" w:line="280" w:lineRule="exact"/>
        <w:jc w:val="left"/>
        <w:outlineLvl w:val="3"/>
        <w:rPr>
          <w:rFonts w:ascii="宋体" w:hAnsi="宋体" w:eastAsia="宋体" w:cs="宋体"/>
          <w:b/>
          <w:bCs/>
          <w:sz w:val="21"/>
          <w:szCs w:val="21"/>
        </w:rPr>
      </w:pPr>
      <w:bookmarkStart w:id="262" w:name="_Toc989151"/>
      <w:r>
        <w:rPr>
          <w:rFonts w:ascii="宋体" w:hAnsi="宋体" w:eastAsia="宋体" w:cs="宋体"/>
          <w:b/>
          <w:bCs/>
          <w:sz w:val="21"/>
          <w:szCs w:val="21"/>
        </w:rPr>
        <w:t>（3） 本期计提、收回或转回的坏账准备的情况</w:t>
      </w:r>
      <w:bookmarkEnd w:id="262"/>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转销或核销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单项计提坏账准备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其中本期坏账准备转回或收回金额重要的：</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确定原坏账准备计提比例的依据及其合理性</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263" w:name="_Toc989152"/>
      <w:r>
        <w:rPr>
          <w:rFonts w:ascii="宋体" w:hAnsi="宋体" w:eastAsia="宋体" w:cs="宋体"/>
          <w:b/>
          <w:bCs/>
          <w:sz w:val="21"/>
          <w:szCs w:val="21"/>
        </w:rPr>
        <w:t>（4） 本期实际核销的长期应收款情况</w:t>
      </w:r>
      <w:bookmarkEnd w:id="26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其中重要的长期应收款核销情况：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款项是否由关联交易产生</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长期应收款核销说明：</w:t>
      </w:r>
    </w:p>
    <w:p>
      <w:pPr>
        <w:keepNext/>
        <w:keepLines/>
        <w:spacing w:before="300" w:after="300" w:line="280" w:lineRule="exact"/>
        <w:jc w:val="left"/>
        <w:outlineLvl w:val="2"/>
        <w:rPr>
          <w:rFonts w:ascii="宋体" w:hAnsi="宋体" w:eastAsia="宋体" w:cs="宋体"/>
          <w:b/>
          <w:bCs/>
          <w:sz w:val="21"/>
          <w:szCs w:val="21"/>
        </w:rPr>
      </w:pPr>
      <w:bookmarkStart w:id="264" w:name="_Toc989153"/>
      <w:r>
        <w:rPr>
          <w:rFonts w:ascii="宋体" w:hAnsi="宋体" w:eastAsia="宋体" w:cs="宋体"/>
          <w:b/>
          <w:bCs/>
          <w:sz w:val="21"/>
          <w:szCs w:val="21"/>
        </w:rPr>
        <w:t>18、长期股权投资</w:t>
      </w:r>
      <w:bookmarkEnd w:id="26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1"/>
        <w:gridCol w:w="741"/>
        <w:gridCol w:w="741"/>
        <w:gridCol w:w="741"/>
        <w:gridCol w:w="741"/>
        <w:gridCol w:w="741"/>
        <w:gridCol w:w="741"/>
        <w:gridCol w:w="741"/>
        <w:gridCol w:w="741"/>
        <w:gridCol w:w="741"/>
        <w:gridCol w:w="741"/>
        <w:gridCol w:w="741"/>
        <w:gridCol w:w="7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被投资单位</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期初余额（账面价值）</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减值准备期初余额</w:t>
            </w:r>
          </w:p>
        </w:tc>
        <w:tc>
          <w:tcPr>
            <w:tcW w:w="5928" w:type="dxa"/>
            <w:gridSpan w:val="8"/>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本期增减变动</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期末余额（账面价值）</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追加投资</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减少投资</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权益法下确认的投资损益</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其他综合收益调整</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其他权益变动</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宣告发放现金股利或利润</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计提减值准备</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3" w:type="dxa"/>
            <w:gridSpan w:val="1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一、合营企业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3" w:type="dxa"/>
            <w:gridSpan w:val="1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二、联营企业</w:t>
            </w:r>
          </w:p>
        </w:tc>
      </w:tr>
      <w:tr>
        <w:tblPrEx>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国家电投集团当雄能源有限公司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14,814,529.71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357,797.45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15,172,327.16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沈阳远达环保工程有限公司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14,262,708.39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426,430.62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14,689,139.01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吉电未来智维能源科技（吉林）有限公司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15,117,686.73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1,578,730.70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16,696,417.43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吉林省吉电国际贸易有限公司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吉林省吉电能源服务有限公司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666,372.57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391,115.38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1,057,487.95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电投绿色氢能一期（海南）私募基金合伙企业（有限合伙）</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81,522,633.39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81,522,633.39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山东鸿吉新能源有限公司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深圳市吉电盈晟新能源投资有限公司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37,029,609.68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-88,308.45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36,941,301.23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吉电憧憬（吉林）新能源发展有限公司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6,421,357.46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-23,184.99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6,398,172.47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安庆高新吉电能源有限公司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33,852,172.00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-457,197.22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33,394,974.78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广西国电投海外能源投资有限公司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635,795,521.88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62,463,000.87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698,258,522.75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吉度（苏州）智慧能源有限公司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61,227,903.14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125,862.31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61,353,765.45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氢动力（北京）科技服务有限公司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5,908,957.69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-2,089,482.52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3,819,475.17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吉电碧程智慧能源（成都）有限公司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4,602,277.19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695,885.52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5,298,162.71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中吉慧能（深圳）投资有限公司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1,821,521.96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1,197,286.43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3,018,808.39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长春绿动氢能科技有限公司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189,145,961.95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-7,841,476.41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181,304,485.54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电投浙储（长兴）智慧能源有限公司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38,927,713.10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-98,501.05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38,829,212.05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吉电能谷（白城）储能投资有限公司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40,082,094.54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10,732.85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40,092,827.39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潍坊捷凯能源管理有限公司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1,123,754.87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92,960.26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1,216,715.13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吉电港华智慧能源（济南）有限公司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584,777.63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340.64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585,118.27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上海国和吉运数字科技有限公司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675,733.47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12,825,000.00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-157,400.47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13,343,333.00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天津吉能新能源科技有限公司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小计</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1,185,083,287.35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13,325,000.00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56,584,591.92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1,254,992,879.27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1,185,083,287.35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13,325,000.00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56,584,591.92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1,254,992,879.27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可收回金额按公允价值减去处置费用后的净额确定</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可收回金额按预计未来现金流量的现值确定</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前述信息与以前年度减值测试采用的信息或外部信息明显不一致的差异原因</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公司以前年度减值测试采用信息与当年实际情况明显不一致的差异原因</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65" w:name="_Toc989154"/>
      <w:r>
        <w:rPr>
          <w:rFonts w:ascii="宋体" w:hAnsi="宋体" w:eastAsia="宋体" w:cs="宋体"/>
          <w:b/>
          <w:bCs/>
          <w:sz w:val="21"/>
          <w:szCs w:val="21"/>
        </w:rPr>
        <w:t>19、其他非流动金融资产</w:t>
      </w:r>
      <w:bookmarkEnd w:id="26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66" w:name="_Toc989155"/>
      <w:r>
        <w:rPr>
          <w:rFonts w:ascii="宋体" w:hAnsi="宋体" w:eastAsia="宋体" w:cs="宋体"/>
          <w:b/>
          <w:bCs/>
          <w:sz w:val="21"/>
          <w:szCs w:val="21"/>
        </w:rPr>
        <w:t>20、投资性房地产</w:t>
      </w:r>
      <w:bookmarkEnd w:id="266"/>
    </w:p>
    <w:p>
      <w:pPr>
        <w:keepNext/>
        <w:keepLines/>
        <w:spacing w:before="300" w:after="300" w:line="280" w:lineRule="exact"/>
        <w:jc w:val="left"/>
        <w:outlineLvl w:val="3"/>
        <w:rPr>
          <w:rFonts w:ascii="宋体" w:hAnsi="宋体" w:eastAsia="宋体" w:cs="宋体"/>
          <w:b/>
          <w:bCs/>
          <w:sz w:val="18"/>
          <w:szCs w:val="18"/>
        </w:rPr>
      </w:pPr>
      <w:bookmarkStart w:id="267" w:name="_Toc989156"/>
      <w:r>
        <w:rPr>
          <w:rFonts w:ascii="宋体" w:hAnsi="宋体" w:eastAsia="宋体" w:cs="宋体"/>
          <w:b/>
          <w:bCs/>
          <w:sz w:val="18"/>
          <w:szCs w:val="18"/>
        </w:rPr>
        <w:t>（1） 采用成本计量模式的投资性房地产</w:t>
      </w:r>
      <w:bookmarkEnd w:id="267"/>
    </w:p>
    <w:p>
      <w:pPr>
        <w:spacing w:before="0" w:after="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18"/>
          <w:szCs w:val="18"/>
        </w:rPr>
      </w:pPr>
      <w:bookmarkStart w:id="268" w:name="_Toc989157"/>
      <w:r>
        <w:rPr>
          <w:rFonts w:ascii="宋体" w:hAnsi="宋体" w:eastAsia="宋体" w:cs="宋体"/>
          <w:b/>
          <w:bCs/>
          <w:sz w:val="18"/>
          <w:szCs w:val="18"/>
        </w:rPr>
        <w:t>（2） 采用公允价值计量模式的投资性房地产</w:t>
      </w:r>
      <w:bookmarkEnd w:id="268"/>
    </w:p>
    <w:p>
      <w:pPr>
        <w:spacing w:before="0" w:after="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18"/>
          <w:szCs w:val="18"/>
        </w:rPr>
      </w:pPr>
      <w:bookmarkStart w:id="269" w:name="_Toc989158"/>
      <w:r>
        <w:rPr>
          <w:rFonts w:ascii="宋体" w:hAnsi="宋体" w:eastAsia="宋体" w:cs="宋体"/>
          <w:b/>
          <w:bCs/>
          <w:sz w:val="18"/>
          <w:szCs w:val="18"/>
        </w:rPr>
        <w:t>（3） 转换为投资性房地产并采用公允价值计量</w:t>
      </w:r>
      <w:bookmarkEnd w:id="26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转换前核算科目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转换理由</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审批程序</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对损益的影响</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对其他综合收益的影响</w:t>
            </w:r>
          </w:p>
        </w:tc>
      </w:tr>
    </w:tbl>
    <w:p>
      <w:pPr>
        <w:keepNext/>
        <w:keepLines/>
        <w:spacing w:before="300" w:after="300" w:line="280" w:lineRule="exact"/>
        <w:jc w:val="left"/>
        <w:outlineLvl w:val="3"/>
        <w:rPr>
          <w:rFonts w:ascii="宋体" w:hAnsi="宋体" w:eastAsia="宋体" w:cs="宋体"/>
          <w:b/>
          <w:bCs/>
          <w:sz w:val="18"/>
          <w:szCs w:val="18"/>
        </w:rPr>
      </w:pPr>
      <w:bookmarkStart w:id="270" w:name="_Toc989159"/>
      <w:r>
        <w:rPr>
          <w:rFonts w:ascii="宋体" w:hAnsi="宋体" w:eastAsia="宋体" w:cs="宋体"/>
          <w:b/>
          <w:bCs/>
          <w:sz w:val="18"/>
          <w:szCs w:val="18"/>
        </w:rPr>
        <w:t>（4） 未办妥产权证书的投资性房地产情况</w:t>
      </w:r>
      <w:bookmarkEnd w:id="27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未办妥产权证书原因</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71" w:name="_Toc989160"/>
      <w:r>
        <w:rPr>
          <w:rFonts w:ascii="宋体" w:hAnsi="宋体" w:eastAsia="宋体" w:cs="宋体"/>
          <w:b/>
          <w:bCs/>
          <w:sz w:val="21"/>
          <w:szCs w:val="21"/>
        </w:rPr>
        <w:t>21、固定资产</w:t>
      </w:r>
      <w:bookmarkEnd w:id="27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固定资产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51,626,667,880.86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51,760,401,506.12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51,626,667,880.86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51,760,401,506.12</w:t>
            </w:r>
          </w:p>
        </w:tc>
      </w:tr>
    </w:tbl>
    <w:p>
      <w:pPr>
        <w:keepNext/>
        <w:keepLines/>
        <w:spacing w:before="300" w:after="300" w:line="280" w:lineRule="exact"/>
        <w:jc w:val="left"/>
        <w:outlineLvl w:val="3"/>
        <w:rPr>
          <w:rFonts w:ascii="宋体" w:hAnsi="宋体" w:eastAsia="宋体" w:cs="宋体"/>
          <w:b/>
          <w:bCs/>
          <w:sz w:val="21"/>
          <w:szCs w:val="21"/>
        </w:rPr>
      </w:pPr>
      <w:bookmarkStart w:id="272" w:name="_Toc989161"/>
      <w:r>
        <w:rPr>
          <w:rFonts w:ascii="宋体" w:hAnsi="宋体" w:eastAsia="宋体" w:cs="宋体"/>
          <w:b/>
          <w:bCs/>
          <w:sz w:val="21"/>
          <w:szCs w:val="21"/>
        </w:rPr>
        <w:t>（1） 固定资产情况</w:t>
      </w:r>
      <w:bookmarkEnd w:id="27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房屋及建筑物</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机器设备</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运输工具</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其它</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一、账面原值：</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1.期初余额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8,140,027,000.26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68,008,739,502.09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145,101,037.69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144,464,043.15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76,438,331,583.19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2.本期增加金额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225,999,203.99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1,413,390,818.41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2,646,229.01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1,311,538.58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1,643,347,789.99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（1）购置</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1,311,538.58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1,311,538.58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（2）在建工程转入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225,999,203.99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1,413,390,818.41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2,646,229.01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1,642,036,251.41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（3）企业合并增加</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3.本期减少金额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27,915.00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2,015,873.69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1,245,520.89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3,289,309.58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（1）处置或报废</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27,915.00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2,015,873.69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1,245,520.89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3,289,309.58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4.期末余额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8,365,998,289.25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69,422,130,320.50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145,731,393.01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144,530,060.84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78,078,390,063.60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二、累计折旧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1.期初余额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3,686,214,855.71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20,793,488,990.23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74,807,342.80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101,594,342.23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24,656,105,530.97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2.本期增加金额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171,057,124.92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1,591,366,706.00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8,921,200.97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10,446,768.81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1,781,791,800.70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（1）计提</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171,057,124.92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1,591,366,706.00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8,921,200.97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10,446,768.81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1,781,791,800.70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3.本期减少金额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25,123.50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1,711,808.60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1,244,875.92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2,981,808.02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（1）处置或报废</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25,123.50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1,711,808.60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1,244,875.92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2,981,808.02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4.期末余额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3,857,246,857.13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22,384,855,696.23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82,016,735.17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110,796,235.12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26,434,915,523.65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三、减值准备</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1.期初余额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324,593.56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21,499,952.54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21,824,546.10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2.本期增加金额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（1）计提</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3.本期减少金额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5,017,887.01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5,017,887.01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（1）处置或报废</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5,017,887.01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5,017,887.01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4.期末余额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324,593.56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16,482,065.53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16,806,659.09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四、账面价值</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1.期末账面价值</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4,508,426,838.56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47,020,792,558.74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63,714,657.84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33,733,825.72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51,626,667,880.86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2.期初账面价值</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4,453,487,550.99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47,193,750,559.32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70,293,694.89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42,869,700.92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51,760,401,506.12</w:t>
            </w:r>
          </w:p>
        </w:tc>
      </w:tr>
    </w:tbl>
    <w:p>
      <w:pPr>
        <w:keepNext/>
        <w:keepLines/>
        <w:spacing w:before="300" w:after="300" w:line="280" w:lineRule="exact"/>
        <w:jc w:val="left"/>
        <w:outlineLvl w:val="3"/>
        <w:rPr>
          <w:rFonts w:ascii="宋体" w:hAnsi="宋体" w:eastAsia="宋体" w:cs="宋体"/>
          <w:b/>
          <w:bCs/>
          <w:sz w:val="21"/>
          <w:szCs w:val="21"/>
        </w:rPr>
      </w:pPr>
      <w:bookmarkStart w:id="273" w:name="_Toc989162"/>
      <w:r>
        <w:rPr>
          <w:rFonts w:ascii="宋体" w:hAnsi="宋体" w:eastAsia="宋体" w:cs="宋体"/>
          <w:b/>
          <w:bCs/>
          <w:sz w:val="21"/>
          <w:szCs w:val="21"/>
        </w:rPr>
        <w:t>（2） 暂时闲置的固定资产情况</w:t>
      </w:r>
      <w:bookmarkEnd w:id="27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账面原值</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累计折旧</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备注</w:t>
            </w:r>
          </w:p>
        </w:tc>
      </w:tr>
    </w:tbl>
    <w:p>
      <w:pPr>
        <w:keepNext/>
        <w:keepLines/>
        <w:spacing w:before="300" w:after="300" w:line="280" w:lineRule="exact"/>
        <w:jc w:val="left"/>
        <w:outlineLvl w:val="3"/>
        <w:rPr>
          <w:rFonts w:ascii="宋体" w:hAnsi="宋体" w:eastAsia="宋体" w:cs="宋体"/>
          <w:b/>
          <w:bCs/>
          <w:sz w:val="21"/>
          <w:szCs w:val="21"/>
        </w:rPr>
      </w:pPr>
      <w:bookmarkStart w:id="274" w:name="_Toc989163"/>
      <w:r>
        <w:rPr>
          <w:rFonts w:ascii="宋体" w:hAnsi="宋体" w:eastAsia="宋体" w:cs="宋体"/>
          <w:b/>
          <w:bCs/>
          <w:sz w:val="21"/>
          <w:szCs w:val="21"/>
        </w:rPr>
        <w:t>（3） 通过经营租赁租出的固定资产</w:t>
      </w:r>
      <w:bookmarkEnd w:id="27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期末账面价值</w:t>
            </w:r>
          </w:p>
        </w:tc>
      </w:tr>
    </w:tbl>
    <w:p>
      <w:pPr>
        <w:keepNext/>
        <w:keepLines/>
        <w:spacing w:before="300" w:after="300" w:line="280" w:lineRule="exact"/>
        <w:jc w:val="left"/>
        <w:outlineLvl w:val="3"/>
        <w:rPr>
          <w:rFonts w:ascii="宋体" w:hAnsi="宋体" w:eastAsia="宋体" w:cs="宋体"/>
          <w:b/>
          <w:bCs/>
          <w:sz w:val="21"/>
          <w:szCs w:val="21"/>
        </w:rPr>
      </w:pPr>
      <w:bookmarkStart w:id="275" w:name="_Toc989164"/>
      <w:r>
        <w:rPr>
          <w:rFonts w:ascii="宋体" w:hAnsi="宋体" w:eastAsia="宋体" w:cs="宋体"/>
          <w:b/>
          <w:bCs/>
          <w:sz w:val="21"/>
          <w:szCs w:val="21"/>
        </w:rPr>
        <w:t>（4） 未办妥产权证书的固定资产情况</w:t>
      </w:r>
      <w:bookmarkEnd w:id="27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未办妥产权证书的原因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房屋及建筑物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674,038,985.66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正在办理</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276" w:name="_Toc989165"/>
      <w:r>
        <w:rPr>
          <w:rFonts w:ascii="宋体" w:hAnsi="宋体" w:eastAsia="宋体" w:cs="宋体"/>
          <w:b/>
          <w:bCs/>
          <w:sz w:val="21"/>
          <w:szCs w:val="21"/>
        </w:rPr>
        <w:t>（5） 固定资产的减值测试情况</w:t>
      </w:r>
      <w:bookmarkEnd w:id="276"/>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21"/>
          <w:szCs w:val="21"/>
        </w:rPr>
      </w:pPr>
      <w:bookmarkStart w:id="277" w:name="_Toc989166"/>
      <w:r>
        <w:rPr>
          <w:rFonts w:ascii="宋体" w:hAnsi="宋体" w:eastAsia="宋体" w:cs="宋体"/>
          <w:b/>
          <w:bCs/>
          <w:sz w:val="21"/>
          <w:szCs w:val="21"/>
        </w:rPr>
        <w:t>（6） 固定资产清理</w:t>
      </w:r>
      <w:bookmarkEnd w:id="27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78" w:name="_Toc989167"/>
      <w:r>
        <w:rPr>
          <w:rFonts w:ascii="宋体" w:hAnsi="宋体" w:eastAsia="宋体" w:cs="宋体"/>
          <w:b/>
          <w:bCs/>
          <w:sz w:val="21"/>
          <w:szCs w:val="21"/>
        </w:rPr>
        <w:t>22、在建工程</w:t>
      </w:r>
      <w:bookmarkEnd w:id="27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在建工程</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6,224,283,802.23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5,627,929,972.63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工程物资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374,104,812.78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365,010,316.20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6,598,388,615.01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5,992,940,288.83</w:t>
            </w:r>
          </w:p>
        </w:tc>
      </w:tr>
    </w:tbl>
    <w:p>
      <w:pPr>
        <w:keepNext/>
        <w:keepLines/>
        <w:spacing w:before="300" w:after="300" w:line="280" w:lineRule="exact"/>
        <w:jc w:val="left"/>
        <w:outlineLvl w:val="3"/>
        <w:rPr>
          <w:rFonts w:ascii="宋体" w:hAnsi="宋体" w:eastAsia="宋体" w:cs="宋体"/>
          <w:b/>
          <w:bCs/>
          <w:sz w:val="21"/>
          <w:szCs w:val="21"/>
        </w:rPr>
      </w:pPr>
      <w:bookmarkStart w:id="279" w:name="_Toc989168"/>
      <w:r>
        <w:rPr>
          <w:rFonts w:ascii="宋体" w:hAnsi="宋体" w:eastAsia="宋体" w:cs="宋体"/>
          <w:b/>
          <w:bCs/>
          <w:sz w:val="21"/>
          <w:szCs w:val="21"/>
        </w:rPr>
        <w:t>（1） 在建工程情况</w:t>
      </w:r>
      <w:bookmarkEnd w:id="27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山东潍坊风光储多能互补试点项目首批第一期</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951,944,963.13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951,944,963.13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925,902,276.12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925,902,276.12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南宁邕宁光伏项目二期</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613,536,339.45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613,536,339.45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肥西县冠阳新能源有限公司150MW渔光互补光伏电站项目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1,743,549.00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1,743,549.00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520,258,967.65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520,258,967.65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年产500万kVAh铅碳电池和年处理20万吨废旧铅蓄电池综合利用配套100MW风电项目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396,452,318.08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396,452,318.08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361,974,169.52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361,974,169.52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扶余市三井子风电场五期100MW风电项目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363,151,188.44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363,151,188.44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351,179,366.28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351,179,366.28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吉西基地鲁固直流项目风电（200MW）</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462,196,824.57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462,196,824.57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258,215,484.10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258,215,484.10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蛟河乡村振兴工程5.12万千瓦光伏项目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183,362,393.32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183,362,393.32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174,103,901.69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174,103,901.69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吉林汪清抽水蓄能电站（四方台站点）1800MW项目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181,909,946.88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181,909,946.88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173,116,273.92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173,116,273.92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黑龙江省鸡西市密山市生物质综合利用一体化项目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179,522,004.25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179,522,004.25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164,638,026.75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164,638,026.75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吉西基地鲁固直流光热（100MW）项目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145,679,591.12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145,679,591.12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125,453,707.03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125,453,707.03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珠恩嘎达布其口岸百万吨储煤基地</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155,979,799.26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155,979,799.26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106,443,562.72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106,443,562.72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抚州东乡项目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28,785,037.71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28,785,037.71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23,541,346.72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23,541,346.72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南宁邕宁光伏项目一期</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9,236,736.55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9,236,736.55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广西田东100MW光伏项目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898,164.46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898,164.46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讷河市威天新能源124.7MW风电项目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417,285.85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417,285.85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大安风光制绿氢合成氨一体化示范项目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826,469,959.29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826,469,959.29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270,357,874.81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270,357,874.81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2,347,086,227.18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2,347,086,227.18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1,548,656,489.01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1,548,656,489.01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6,224,283,802.23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6,224,283,802.23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5,627,929,972.63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5,627,929,972.63</w:t>
            </w:r>
          </w:p>
        </w:tc>
      </w:tr>
    </w:tbl>
    <w:p>
      <w:pPr>
        <w:keepNext/>
        <w:keepLines/>
        <w:spacing w:before="300" w:after="300" w:line="280" w:lineRule="exact"/>
        <w:jc w:val="left"/>
        <w:outlineLvl w:val="3"/>
        <w:rPr>
          <w:rFonts w:ascii="宋体" w:hAnsi="宋体" w:eastAsia="宋体" w:cs="宋体"/>
          <w:b/>
          <w:bCs/>
          <w:sz w:val="21"/>
          <w:szCs w:val="21"/>
        </w:rPr>
      </w:pPr>
      <w:bookmarkStart w:id="280" w:name="_Toc989169"/>
      <w:r>
        <w:rPr>
          <w:rFonts w:ascii="宋体" w:hAnsi="宋体" w:eastAsia="宋体" w:cs="宋体"/>
          <w:b/>
          <w:bCs/>
          <w:sz w:val="21"/>
          <w:szCs w:val="21"/>
        </w:rPr>
        <w:t>（2） 重要在建工程项目本期变动情况</w:t>
      </w:r>
      <w:bookmarkEnd w:id="28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1"/>
        <w:gridCol w:w="741"/>
        <w:gridCol w:w="741"/>
        <w:gridCol w:w="741"/>
        <w:gridCol w:w="741"/>
        <w:gridCol w:w="741"/>
        <w:gridCol w:w="741"/>
        <w:gridCol w:w="741"/>
        <w:gridCol w:w="741"/>
        <w:gridCol w:w="741"/>
        <w:gridCol w:w="741"/>
        <w:gridCol w:w="741"/>
        <w:gridCol w:w="7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项目名称</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预算数</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本期转入固定资产金额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本期其他减少金额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工程累计投入占预算比例</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工程进度</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利息资本化累计金额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其中：本期利息资本化金额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本期利息资本化率</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资金来源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山东潍坊风光储多能互补试点项目首批第一期</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1,092,898,779.96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925,902,276.12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26,042,687.01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951,944,963.13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96.44%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99.99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9,289,957.33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3,933,722.31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南宁邕宁光伏项目二期</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824,159,500.00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613,536,339.45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47,049,473.73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660,585,813.18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88.53%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15,770,504.13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2,067,830.01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肥西县冠阳新能源有限公司150MW渔光互补光伏电站项目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662,965,700.00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520,258,967.65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65,648,222.01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584,163,640.66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1,743,549.00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3,368,910.04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1,680,738.67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年产500万kVAh铅碳电池和年处理20万吨废旧铅蓄电池综合利用配套100MW风电项目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618,429,700.00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361,974,169.52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34,478,148.56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396,452,318.08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83.87%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64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7,906,699.46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3,555,620.99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扶余市三井子风电场五期100MW风电项目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563,397,500.00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351,179,366.28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11,971,822.16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363,151,188.44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64.46%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95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5,671,714.66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3,331,952.33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吉西基地鲁固直流项目风电（200MW）</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948,280,000.00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258,215,484.10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203,981,340.47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462,196,824.57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56.78%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57.49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5,108,068.40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3,809,628.60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吉林汪清抽水蓄能电站（四方台站点）1800MW项目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12,584,000,000.00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173,116,273.92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8,793,672.96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181,909,946.88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1.45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吉西基地鲁固直流光热（100MW）项目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1,938,520,000.00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125,453,707.03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20,225,884.09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145,679,591.12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21.91%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8.77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927,405.83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927,405.83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南宁邕宁光伏项目一期</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827,070,000.00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9,236,736.55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9,236,736.55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97.33%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17,918,526.26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广西田东100MW光伏项目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575,729,400.00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898,164.46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898,164.46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12,616,035.93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讷河市威天新能源124.7MW风电项目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595,580,400.00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417,285.85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417,285.85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89.70%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16,509,607.28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大安风光制绿氢合成氨一体化示范项目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5,955,780,000.00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270,357,874.81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556,112,084.48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826,469,959.29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20.83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13,392,526.15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9,646,429.76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27,186,810,979.96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3,610,546,645.74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974,303,335.47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1,245,166,739.69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10,134,901.01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3,329,548,340.51</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108,479,955.47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28,953,328.50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keepNext/>
        <w:keepLines/>
        <w:spacing w:before="300" w:after="300" w:line="280" w:lineRule="exact"/>
        <w:jc w:val="left"/>
        <w:outlineLvl w:val="3"/>
        <w:rPr>
          <w:rFonts w:ascii="宋体" w:hAnsi="宋体" w:eastAsia="宋体" w:cs="宋体"/>
          <w:b/>
          <w:bCs/>
          <w:sz w:val="21"/>
          <w:szCs w:val="21"/>
        </w:rPr>
      </w:pPr>
      <w:bookmarkStart w:id="281" w:name="_Toc989170"/>
      <w:r>
        <w:rPr>
          <w:rFonts w:ascii="宋体" w:hAnsi="宋体" w:eastAsia="宋体" w:cs="宋体"/>
          <w:b/>
          <w:bCs/>
          <w:sz w:val="21"/>
          <w:szCs w:val="21"/>
        </w:rPr>
        <w:t>（3） 本期计提在建工程减值准备情况</w:t>
      </w:r>
      <w:bookmarkEnd w:id="28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计提原因</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282" w:name="_Toc989171"/>
      <w:r>
        <w:rPr>
          <w:rFonts w:ascii="宋体" w:hAnsi="宋体" w:eastAsia="宋体" w:cs="宋体"/>
          <w:b/>
          <w:bCs/>
          <w:sz w:val="21"/>
          <w:szCs w:val="21"/>
        </w:rPr>
        <w:t>（4） 在建工程的减值测试情况</w:t>
      </w:r>
      <w:bookmarkEnd w:id="282"/>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21"/>
          <w:szCs w:val="21"/>
        </w:rPr>
      </w:pPr>
      <w:bookmarkStart w:id="283" w:name="_Toc989172"/>
      <w:r>
        <w:rPr>
          <w:rFonts w:ascii="宋体" w:hAnsi="宋体" w:eastAsia="宋体" w:cs="宋体"/>
          <w:b/>
          <w:bCs/>
          <w:sz w:val="21"/>
          <w:szCs w:val="21"/>
        </w:rPr>
        <w:t>（5） 工程物资</w:t>
      </w:r>
      <w:bookmarkEnd w:id="28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专用材料</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51,589,945.49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51,589,945.49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57,924,092.45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16,339,492.55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41,584,599.90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专用设备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322,514,867.29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322,514,867.29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323,425,716.30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323,425,716.30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374,104,812.78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374,104,812.78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381,349,808.75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16,339,492.55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365,010,316.20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84" w:name="_Toc989173"/>
      <w:r>
        <w:rPr>
          <w:rFonts w:ascii="宋体" w:hAnsi="宋体" w:eastAsia="宋体" w:cs="宋体"/>
          <w:b/>
          <w:bCs/>
          <w:sz w:val="21"/>
          <w:szCs w:val="21"/>
        </w:rPr>
        <w:t>23、生产性生物资产</w:t>
      </w:r>
      <w:bookmarkEnd w:id="284"/>
    </w:p>
    <w:p>
      <w:pPr>
        <w:keepNext/>
        <w:keepLines/>
        <w:spacing w:before="300" w:after="300" w:line="280" w:lineRule="exact"/>
        <w:jc w:val="left"/>
        <w:outlineLvl w:val="3"/>
        <w:rPr>
          <w:rFonts w:ascii="宋体" w:hAnsi="宋体" w:eastAsia="宋体" w:cs="宋体"/>
          <w:b/>
          <w:bCs/>
          <w:sz w:val="21"/>
          <w:szCs w:val="21"/>
        </w:rPr>
      </w:pPr>
      <w:bookmarkStart w:id="285" w:name="_Toc989174"/>
      <w:r>
        <w:rPr>
          <w:rFonts w:ascii="宋体" w:hAnsi="宋体" w:eastAsia="宋体" w:cs="宋体"/>
          <w:b/>
          <w:bCs/>
          <w:sz w:val="21"/>
          <w:szCs w:val="21"/>
        </w:rPr>
        <w:t>（1） 采用成本计量模式的生产性生物资产</w:t>
      </w:r>
      <w:bookmarkEnd w:id="285"/>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21"/>
          <w:szCs w:val="21"/>
        </w:rPr>
      </w:pPr>
      <w:bookmarkStart w:id="286" w:name="_Toc989175"/>
      <w:r>
        <w:rPr>
          <w:rFonts w:ascii="宋体" w:hAnsi="宋体" w:eastAsia="宋体" w:cs="宋体"/>
          <w:b/>
          <w:bCs/>
          <w:sz w:val="21"/>
          <w:szCs w:val="21"/>
        </w:rPr>
        <w:t>（2） 采用成本计量模式的生产性生物资产的减值测试情况</w:t>
      </w:r>
      <w:bookmarkEnd w:id="286"/>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21"/>
          <w:szCs w:val="21"/>
        </w:rPr>
      </w:pPr>
      <w:bookmarkStart w:id="287" w:name="_Toc989176"/>
      <w:r>
        <w:rPr>
          <w:rFonts w:ascii="宋体" w:hAnsi="宋体" w:eastAsia="宋体" w:cs="宋体"/>
          <w:b/>
          <w:bCs/>
          <w:sz w:val="21"/>
          <w:szCs w:val="21"/>
        </w:rPr>
        <w:t>（3） 采用公允价值计量模式的生产性生物资产</w:t>
      </w:r>
      <w:bookmarkEnd w:id="287"/>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288" w:name="_Toc989177"/>
      <w:r>
        <w:rPr>
          <w:rFonts w:ascii="宋体" w:hAnsi="宋体" w:eastAsia="宋体" w:cs="宋体"/>
          <w:b/>
          <w:bCs/>
          <w:sz w:val="21"/>
          <w:szCs w:val="21"/>
        </w:rPr>
        <w:t>24、油气资产</w:t>
      </w:r>
      <w:bookmarkEnd w:id="288"/>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289" w:name="_Toc989178"/>
      <w:r>
        <w:rPr>
          <w:rFonts w:ascii="宋体" w:hAnsi="宋体" w:eastAsia="宋体" w:cs="宋体"/>
          <w:b/>
          <w:bCs/>
          <w:sz w:val="21"/>
          <w:szCs w:val="21"/>
        </w:rPr>
        <w:t>25、使用权资产</w:t>
      </w:r>
      <w:bookmarkEnd w:id="289"/>
    </w:p>
    <w:p>
      <w:pPr>
        <w:keepNext/>
        <w:keepLines/>
        <w:spacing w:before="300" w:after="300" w:line="280" w:lineRule="exact"/>
        <w:jc w:val="left"/>
        <w:outlineLvl w:val="3"/>
        <w:rPr>
          <w:rFonts w:ascii="宋体" w:hAnsi="宋体" w:eastAsia="宋体" w:cs="宋体"/>
          <w:b/>
          <w:bCs/>
          <w:sz w:val="21"/>
          <w:szCs w:val="21"/>
        </w:rPr>
      </w:pPr>
      <w:bookmarkStart w:id="290" w:name="_Toc989179"/>
      <w:r>
        <w:rPr>
          <w:rFonts w:ascii="宋体" w:hAnsi="宋体" w:eastAsia="宋体" w:cs="宋体"/>
          <w:b/>
          <w:bCs/>
          <w:sz w:val="21"/>
          <w:szCs w:val="21"/>
        </w:rPr>
        <w:t>（1） 使用权资产情况</w:t>
      </w:r>
      <w:bookmarkEnd w:id="29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房屋及建筑物</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机器设备</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土地使用权</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一、账面原值</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1.期初余额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177,569,943.19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26,981,735.39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1,465,964,554.22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1,670,516,232.80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2.本期增加金额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28,488,067.01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63,985,188.30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92,473,255.31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1)租入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92,473,255.31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3.本期减少金额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540,992.18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540,992.18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1)其他</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540,992.18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540,992.18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4.期末余额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206,058,010.20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26,440,743.21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1,529,949,742.52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1,762,448,495.93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二、累计折旧</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1.期初余额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26,426,937.19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995,204.20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184,937,263.78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212,359,405.17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2.本期增加金额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12,190,678.38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85,450.04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37,549,341.30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49,825,469.72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（1）计提</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12,190,678.38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85,450.04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37,549,341.30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49,825,469.72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3.本期减少金额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208,507.42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208,507.42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（1）处置</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208,507.42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208,507.42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4.期末余额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38,617,615.57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872,146.82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222,486,605.08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261,976,367.47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三、减值准备</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1.期初余额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2.本期增加金额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（1）计提</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3.本期减少金额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（1）处置</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4.期末余额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四、账面价值</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1.期末账面价值</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167,440,394.63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25,568,596.39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1,307,463,137.44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1,500,472,128.46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2.期初账面价值</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151,143,006.00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25,986,531.19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1,281,027,290.44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1,458,156,827.63</w:t>
            </w:r>
          </w:p>
        </w:tc>
      </w:tr>
    </w:tbl>
    <w:p>
      <w:pPr>
        <w:keepNext/>
        <w:keepLines/>
        <w:spacing w:before="300" w:after="300" w:line="280" w:lineRule="exact"/>
        <w:jc w:val="left"/>
        <w:outlineLvl w:val="3"/>
        <w:rPr>
          <w:rFonts w:ascii="宋体" w:hAnsi="宋体" w:eastAsia="宋体" w:cs="宋体"/>
          <w:b/>
          <w:bCs/>
          <w:sz w:val="21"/>
          <w:szCs w:val="21"/>
        </w:rPr>
      </w:pPr>
      <w:bookmarkStart w:id="291" w:name="_Toc989180"/>
      <w:r>
        <w:rPr>
          <w:rFonts w:ascii="宋体" w:hAnsi="宋体" w:eastAsia="宋体" w:cs="宋体"/>
          <w:b/>
          <w:bCs/>
          <w:sz w:val="21"/>
          <w:szCs w:val="21"/>
        </w:rPr>
        <w:t>（2） 使用权资产的减值测试情况</w:t>
      </w:r>
      <w:bookmarkEnd w:id="291"/>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92" w:name="_Toc989181"/>
      <w:r>
        <w:rPr>
          <w:rFonts w:ascii="宋体" w:hAnsi="宋体" w:eastAsia="宋体" w:cs="宋体"/>
          <w:b/>
          <w:bCs/>
          <w:sz w:val="21"/>
          <w:szCs w:val="21"/>
        </w:rPr>
        <w:t>26、无形资产</w:t>
      </w:r>
      <w:bookmarkEnd w:id="292"/>
    </w:p>
    <w:p>
      <w:pPr>
        <w:keepNext/>
        <w:keepLines/>
        <w:spacing w:before="300" w:after="300" w:line="280" w:lineRule="exact"/>
        <w:jc w:val="left"/>
        <w:outlineLvl w:val="3"/>
        <w:rPr>
          <w:rFonts w:ascii="宋体" w:hAnsi="宋体" w:eastAsia="宋体" w:cs="宋体"/>
          <w:b/>
          <w:bCs/>
          <w:sz w:val="21"/>
          <w:szCs w:val="21"/>
        </w:rPr>
      </w:pPr>
      <w:bookmarkStart w:id="293" w:name="_Toc989182"/>
      <w:r>
        <w:rPr>
          <w:rFonts w:ascii="宋体" w:hAnsi="宋体" w:eastAsia="宋体" w:cs="宋体"/>
          <w:b/>
          <w:bCs/>
          <w:sz w:val="21"/>
          <w:szCs w:val="21"/>
        </w:rPr>
        <w:t>（1） 无形资产情况</w:t>
      </w:r>
      <w:bookmarkEnd w:id="29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土地使用权</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专利权</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非专利技术</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商标</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特许使用权</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软件</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其他</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一、账面原值</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1.期初余额</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1,038,906,036.26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3,287,403.77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10,517,452.45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4,235.24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897,165,926.98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102,157,590.49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11,517,559.00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2,063,556,204.19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2.本期增加金额</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54,173,288.48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1,196,449.32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55,369,737.80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（1）购置</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54,173,288.48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366,360.82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54,539,649.30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（2）内部研发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830,088.50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830,088.50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（3）企业合并增加</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3.本期减少金额</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（1）处置</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4.期末余额</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1,093,079,324.74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3,287,403.77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10,517,452.45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4,235.24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897,165,926.98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103,314,039.81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11,517,559.00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2,118,885,941.99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二、累计摊销</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1.期初余额</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215,988,157.26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1,022,227.96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1,850,733.07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1,164.56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66,457,616.96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56,982,905.84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654,442.61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342,957,248.26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2.本期增加金额</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18,509,529.25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158,907.57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525,701.19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211.76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19,785,044.18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4,491,272.36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866,803.68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44,337,469.99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（1）计提</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18,509,529.25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158,907.57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525,701.19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211.76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19,785,044.18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4,491,272.36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866,803.68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44,337,469.99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3.本期减少金额</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13,333.22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13,333.22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（1）处置</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13,333.22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13,333.22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4.期末余额</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234,497,686.51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1,181,135.53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2,376,434.26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1,376.32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86,242,661.14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61,460,844.98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1,521,246.29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387,281,385.03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三、减值准备</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1.期初余额</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756.81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756.81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2.本期增加金额</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（1）计提</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3.本期减少金额</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（1）处置</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4.期末余额</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756.81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756.81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四、账面价值</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1.期末账面价值</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858,581,638.23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2,106,268.24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8,141,018.19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2,858.92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810,923,265.84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41,853,194.83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9,995,555.90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1,731,603,800.15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2.期初账面价值</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822,917,879.00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2,265,175.81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8,666,719.38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3,070.68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830,708,310.02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45,174,684.65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10,862,359.58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1,720,598,199.12</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本期末通过公司内部研发形成的无形资产占无形资产余额的比例</w:t>
      </w:r>
    </w:p>
    <w:p>
      <w:pPr>
        <w:keepNext/>
        <w:keepLines/>
        <w:spacing w:before="300" w:after="300" w:line="280" w:lineRule="exact"/>
        <w:jc w:val="left"/>
        <w:outlineLvl w:val="3"/>
        <w:rPr>
          <w:rFonts w:ascii="宋体" w:hAnsi="宋体" w:eastAsia="宋体" w:cs="宋体"/>
          <w:b/>
          <w:bCs/>
          <w:sz w:val="21"/>
          <w:szCs w:val="21"/>
        </w:rPr>
      </w:pPr>
      <w:bookmarkStart w:id="294" w:name="_Toc989183"/>
      <w:r>
        <w:rPr>
          <w:rFonts w:ascii="宋体" w:hAnsi="宋体" w:eastAsia="宋体" w:cs="宋体"/>
          <w:b/>
          <w:bCs/>
          <w:sz w:val="21"/>
          <w:szCs w:val="21"/>
        </w:rPr>
        <w:t>（2） 确认为无形资产的数据资源</w:t>
      </w:r>
      <w:bookmarkEnd w:id="29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外购的数据资源无形资产</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自行开发的数据资源无形资产</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其他方式取得的数据资源无形资产</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bl>
    <w:p>
      <w:pPr>
        <w:spacing w:before="100" w:after="100" w:line="0" w:lineRule="exact"/>
        <w:jc w:val="left"/>
      </w:pPr>
    </w:p>
    <w:p>
      <w:pPr>
        <w:keepNext/>
        <w:keepLines/>
        <w:spacing w:before="300" w:after="300" w:line="280" w:lineRule="exact"/>
        <w:jc w:val="left"/>
        <w:outlineLvl w:val="3"/>
        <w:rPr>
          <w:rFonts w:ascii="宋体" w:hAnsi="宋体" w:eastAsia="宋体" w:cs="宋体"/>
          <w:b/>
          <w:bCs/>
          <w:sz w:val="21"/>
          <w:szCs w:val="21"/>
        </w:rPr>
      </w:pPr>
      <w:bookmarkStart w:id="295" w:name="_Toc989184"/>
      <w:r>
        <w:rPr>
          <w:rFonts w:ascii="宋体" w:hAnsi="宋体" w:eastAsia="宋体" w:cs="宋体"/>
          <w:b/>
          <w:bCs/>
          <w:sz w:val="21"/>
          <w:szCs w:val="21"/>
        </w:rPr>
        <w:t>（3） 未办妥产权证书的土地使用权情况</w:t>
      </w:r>
      <w:bookmarkEnd w:id="29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未办妥产权证书的原因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土地使用权</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167,905,766.64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土地证尚在办理中</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296" w:name="_Toc989185"/>
      <w:r>
        <w:rPr>
          <w:rFonts w:ascii="宋体" w:hAnsi="宋体" w:eastAsia="宋体" w:cs="宋体"/>
          <w:b/>
          <w:bCs/>
          <w:sz w:val="21"/>
          <w:szCs w:val="21"/>
        </w:rPr>
        <w:t>（4） 无形资产的减值测试情况</w:t>
      </w:r>
      <w:bookmarkEnd w:id="296"/>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297" w:name="_Toc989186"/>
      <w:r>
        <w:rPr>
          <w:rFonts w:ascii="宋体" w:hAnsi="宋体" w:eastAsia="宋体" w:cs="宋体"/>
          <w:b/>
          <w:bCs/>
          <w:sz w:val="21"/>
          <w:szCs w:val="21"/>
        </w:rPr>
        <w:t>27、商誉</w:t>
      </w:r>
      <w:bookmarkEnd w:id="297"/>
    </w:p>
    <w:p>
      <w:pPr>
        <w:keepNext/>
        <w:keepLines/>
        <w:spacing w:before="300" w:after="300" w:line="280" w:lineRule="exact"/>
        <w:jc w:val="left"/>
        <w:outlineLvl w:val="3"/>
        <w:rPr>
          <w:rFonts w:ascii="宋体" w:hAnsi="宋体" w:eastAsia="宋体" w:cs="宋体"/>
          <w:b/>
          <w:bCs/>
          <w:sz w:val="21"/>
          <w:szCs w:val="21"/>
        </w:rPr>
      </w:pPr>
      <w:bookmarkStart w:id="298" w:name="_Toc989187"/>
      <w:r>
        <w:rPr>
          <w:rFonts w:ascii="宋体" w:hAnsi="宋体" w:eastAsia="宋体" w:cs="宋体"/>
          <w:b/>
          <w:bCs/>
          <w:sz w:val="21"/>
          <w:szCs w:val="21"/>
        </w:rPr>
        <w:t>（1） 商誉账面原值</w:t>
      </w:r>
      <w:bookmarkEnd w:id="29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被投资单位名称或形成商誉的事项</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企业合并形成的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处置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甘肃瓜州协合风力发电有限公司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170,223,918.06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170,223,918.06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镇赉华兴风力发电有限公司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143,540.00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143,540.00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长春浙泰太阳能发电有限公司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4,478,112.28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4,478,112.28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174,845,570.34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174,845,570.34</w:t>
            </w:r>
          </w:p>
        </w:tc>
      </w:tr>
    </w:tbl>
    <w:p>
      <w:pPr>
        <w:keepNext/>
        <w:keepLines/>
        <w:spacing w:before="300" w:after="300" w:line="280" w:lineRule="exact"/>
        <w:jc w:val="left"/>
        <w:outlineLvl w:val="3"/>
        <w:rPr>
          <w:rFonts w:ascii="宋体" w:hAnsi="宋体" w:eastAsia="宋体" w:cs="宋体"/>
          <w:b/>
          <w:bCs/>
          <w:sz w:val="21"/>
          <w:szCs w:val="21"/>
        </w:rPr>
      </w:pPr>
      <w:bookmarkStart w:id="299" w:name="_Toc989188"/>
      <w:r>
        <w:rPr>
          <w:rFonts w:ascii="宋体" w:hAnsi="宋体" w:eastAsia="宋体" w:cs="宋体"/>
          <w:b/>
          <w:bCs/>
          <w:sz w:val="21"/>
          <w:szCs w:val="21"/>
        </w:rPr>
        <w:t>（2） 商誉减值准备</w:t>
      </w:r>
      <w:bookmarkEnd w:id="29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被投资单位名称或形成商誉的事项</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处置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甘肃瓜州协合风力发电有限公司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170,223,918.06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170,223,918.06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170,223,918.06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170,223,918.06</w:t>
            </w:r>
          </w:p>
        </w:tc>
      </w:tr>
    </w:tbl>
    <w:p>
      <w:pPr>
        <w:keepNext/>
        <w:keepLines/>
        <w:spacing w:before="300" w:after="300" w:line="280" w:lineRule="exact"/>
        <w:jc w:val="left"/>
        <w:outlineLvl w:val="3"/>
        <w:rPr>
          <w:rFonts w:ascii="宋体" w:hAnsi="宋体" w:eastAsia="宋体" w:cs="宋体"/>
          <w:b/>
          <w:bCs/>
          <w:sz w:val="21"/>
          <w:szCs w:val="21"/>
        </w:rPr>
      </w:pPr>
      <w:bookmarkStart w:id="300" w:name="_Toc989189"/>
      <w:r>
        <w:rPr>
          <w:rFonts w:ascii="宋体" w:hAnsi="宋体" w:eastAsia="宋体" w:cs="宋体"/>
          <w:b/>
          <w:bCs/>
          <w:sz w:val="21"/>
          <w:szCs w:val="21"/>
        </w:rPr>
        <w:t>（3） 商誉所在资产组或资产组组合的相关信息</w:t>
      </w:r>
      <w:bookmarkEnd w:id="300"/>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所属资产组或组合的构成及依据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所属经营分部及依据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是否与以前年度保持一致</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资产组或资产组组合发生变化</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变化前的构成</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变化后的构成</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导致变化的客观事实及依据</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301" w:name="_Toc989190"/>
      <w:r>
        <w:rPr>
          <w:rFonts w:ascii="宋体" w:hAnsi="宋体" w:eastAsia="宋体" w:cs="宋体"/>
          <w:b/>
          <w:bCs/>
          <w:sz w:val="21"/>
          <w:szCs w:val="21"/>
        </w:rPr>
        <w:t>（4） 可收回金额的具体确定方法</w:t>
      </w:r>
      <w:bookmarkEnd w:id="301"/>
    </w:p>
    <w:p>
      <w:pPr>
        <w:spacing w:before="100" w:after="100" w:line="240" w:lineRule="exact"/>
        <w:jc w:val="left"/>
        <w:rPr>
          <w:rFonts w:ascii="宋体" w:hAnsi="宋体" w:eastAsia="宋体" w:cs="宋体"/>
          <w:sz w:val="18"/>
          <w:szCs w:val="18"/>
        </w:rPr>
      </w:pPr>
      <w:r>
        <w:rPr>
          <w:rFonts w:ascii="宋体" w:hAnsi="宋体" w:eastAsia="宋体" w:cs="宋体"/>
          <w:sz w:val="18"/>
          <w:szCs w:val="18"/>
        </w:rPr>
        <w:t>可收回金额按公允价值减去处置费用后的净额确定</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可收回金额按预计未来现金流量的现值确定</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前述信息与以前年度减值测试采用的信息或外部信息明显不一致的差异原因</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公司以前年度减值测试采用信息与当年实际情况明显不一致的差异原因</w:t>
      </w:r>
    </w:p>
    <w:p>
      <w:pPr>
        <w:keepNext/>
        <w:keepLines/>
        <w:spacing w:before="300" w:after="300" w:line="280" w:lineRule="exact"/>
        <w:jc w:val="left"/>
        <w:outlineLvl w:val="3"/>
        <w:rPr>
          <w:rFonts w:ascii="宋体" w:hAnsi="宋体" w:eastAsia="宋体" w:cs="宋体"/>
          <w:b/>
          <w:bCs/>
          <w:sz w:val="21"/>
          <w:szCs w:val="21"/>
        </w:rPr>
      </w:pPr>
      <w:bookmarkStart w:id="302" w:name="_Toc989191"/>
      <w:r>
        <w:rPr>
          <w:rFonts w:ascii="宋体" w:hAnsi="宋体" w:eastAsia="宋体" w:cs="宋体"/>
          <w:b/>
          <w:bCs/>
          <w:sz w:val="21"/>
          <w:szCs w:val="21"/>
        </w:rPr>
        <w:t>（5） 业绩承诺完成及对应商誉减值情况</w:t>
      </w:r>
      <w:bookmarkEnd w:id="302"/>
    </w:p>
    <w:p>
      <w:pPr>
        <w:spacing w:before="100" w:after="100" w:line="240" w:lineRule="exact"/>
        <w:jc w:val="left"/>
        <w:rPr>
          <w:rFonts w:ascii="宋体" w:hAnsi="宋体" w:eastAsia="宋体" w:cs="宋体"/>
          <w:sz w:val="18"/>
          <w:szCs w:val="18"/>
        </w:rPr>
      </w:pPr>
      <w:r>
        <w:rPr>
          <w:rFonts w:ascii="宋体" w:hAnsi="宋体" w:eastAsia="宋体" w:cs="宋体"/>
          <w:sz w:val="18"/>
          <w:szCs w:val="18"/>
        </w:rPr>
        <w:t>形成商誉时存在业绩承诺且报告期或报告期上一期间处于业绩承诺期内</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03" w:name="_Toc989192"/>
      <w:r>
        <w:rPr>
          <w:rFonts w:ascii="宋体" w:hAnsi="宋体" w:eastAsia="宋体" w:cs="宋体"/>
          <w:b/>
          <w:bCs/>
          <w:sz w:val="21"/>
          <w:szCs w:val="21"/>
        </w:rPr>
        <w:t>28、长期待摊费用</w:t>
      </w:r>
      <w:bookmarkEnd w:id="30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本期摊销金额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其他减少金额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待支付和折现的扶贫款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292,857,683.27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16,596,924.58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276,260,758.69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植被恢复费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8,050,548.97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309,636.48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7,740,912.49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土地补偿款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1,438,200.00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42,300.00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1,395,900.00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房屋装修费用</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687,422.66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938,279.64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53,517.00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1,572,185.30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72,314.03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254,716.98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327,031.01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303,106,168.93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1,192,996.62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17,002,378.06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287,296,787.49</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04" w:name="_Toc989193"/>
      <w:r>
        <w:rPr>
          <w:rFonts w:ascii="宋体" w:hAnsi="宋体" w:eastAsia="宋体" w:cs="宋体"/>
          <w:b/>
          <w:bCs/>
          <w:sz w:val="21"/>
          <w:szCs w:val="21"/>
        </w:rPr>
        <w:t>29、递延所得税资产/递延所得税负债</w:t>
      </w:r>
      <w:bookmarkEnd w:id="304"/>
    </w:p>
    <w:p>
      <w:pPr>
        <w:keepNext/>
        <w:keepLines/>
        <w:spacing w:before="300" w:after="300" w:line="280" w:lineRule="exact"/>
        <w:jc w:val="left"/>
        <w:outlineLvl w:val="3"/>
        <w:rPr>
          <w:rFonts w:ascii="宋体" w:hAnsi="宋体" w:eastAsia="宋体" w:cs="宋体"/>
          <w:b/>
          <w:bCs/>
          <w:sz w:val="21"/>
          <w:szCs w:val="21"/>
        </w:rPr>
      </w:pPr>
      <w:bookmarkStart w:id="305" w:name="_Toc989194"/>
      <w:r>
        <w:rPr>
          <w:rFonts w:ascii="宋体" w:hAnsi="宋体" w:eastAsia="宋体" w:cs="宋体"/>
          <w:b/>
          <w:bCs/>
          <w:sz w:val="21"/>
          <w:szCs w:val="21"/>
        </w:rPr>
        <w:t>（1） 未经抵销的递延所得税资产</w:t>
      </w:r>
      <w:bookmarkEnd w:id="30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可抵扣暂时性差异</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递延所得税资产</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可抵扣暂时性差异</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递延所得税资产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资产减值准备</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118,699,161.00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26,148,360.63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121,508,396.27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29,198,155.77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可抵扣亏损</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37,781,103.41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9,445,275.86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37,781,103.41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9,445,275.86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非同一控制下企业合并资产评估减值</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702,260,143.01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173,931,373.56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718,783,733.12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179,695,933.28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租赁负债</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1,072,005,066.06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254,236,786.82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1,109,460,085.62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251,558,765.42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1,930,745,473.48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463,761,796.87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1,987,533,318.42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469,898,130.33</w:t>
            </w:r>
          </w:p>
        </w:tc>
      </w:tr>
    </w:tbl>
    <w:p>
      <w:pPr>
        <w:keepNext/>
        <w:keepLines/>
        <w:spacing w:before="300" w:after="300" w:line="280" w:lineRule="exact"/>
        <w:jc w:val="left"/>
        <w:outlineLvl w:val="3"/>
        <w:rPr>
          <w:rFonts w:ascii="宋体" w:hAnsi="宋体" w:eastAsia="宋体" w:cs="宋体"/>
          <w:b/>
          <w:bCs/>
          <w:sz w:val="21"/>
          <w:szCs w:val="21"/>
        </w:rPr>
      </w:pPr>
      <w:bookmarkStart w:id="306" w:name="_Toc989195"/>
      <w:r>
        <w:rPr>
          <w:rFonts w:ascii="宋体" w:hAnsi="宋体" w:eastAsia="宋体" w:cs="宋体"/>
          <w:b/>
          <w:bCs/>
          <w:sz w:val="21"/>
          <w:szCs w:val="21"/>
        </w:rPr>
        <w:t>（2） 未经抵销的递延所得税负债</w:t>
      </w:r>
      <w:bookmarkEnd w:id="30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应纳税暂时性差异</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递延所得税负债</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应纳税暂时性差异</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递延所得税负债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非同一控制企业合并资产评估增值</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1,061,269,488.02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265,073,445.13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1,099,042,803.72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274,760,700.93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其他权益工具投资公允价值变动</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8,688,552.80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2,172,138.20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8,688,552.80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2,172,138.20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使用权资产</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1,016,002,374.97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239,637,221.60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1,076,723,851.39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243,341,544.42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2,085,960,415.79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506,882,804.93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2,184,455,207.91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520,274,383.55</w:t>
            </w:r>
          </w:p>
        </w:tc>
      </w:tr>
    </w:tbl>
    <w:p>
      <w:pPr>
        <w:keepNext/>
        <w:keepLines/>
        <w:spacing w:before="300" w:after="300" w:line="280" w:lineRule="exact"/>
        <w:jc w:val="left"/>
        <w:outlineLvl w:val="3"/>
        <w:rPr>
          <w:rFonts w:ascii="宋体" w:hAnsi="宋体" w:eastAsia="宋体" w:cs="宋体"/>
          <w:b/>
          <w:bCs/>
          <w:sz w:val="21"/>
          <w:szCs w:val="21"/>
        </w:rPr>
      </w:pPr>
      <w:bookmarkStart w:id="307" w:name="_Toc989196"/>
      <w:r>
        <w:rPr>
          <w:rFonts w:ascii="宋体" w:hAnsi="宋体" w:eastAsia="宋体" w:cs="宋体"/>
          <w:b/>
          <w:bCs/>
          <w:sz w:val="21"/>
          <w:szCs w:val="21"/>
        </w:rPr>
        <w:t>（3） 以抵销后净额列示的递延所得税资产或负债</w:t>
      </w:r>
      <w:bookmarkEnd w:id="30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递延所得税资产和负债期末互抵金额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抵销后递延所得税资产或负债期末余额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递延所得税资产和负债期初互抵金额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抵销后递延所得税资产或负债期初余额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递延所得税资产</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371,846,705.74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91,915,091.13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379,652,982.48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90,245,147.85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递延所得税负债</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371,846,705.74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135,036,099.19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379,652,982.48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140,621,401.07</w:t>
            </w:r>
          </w:p>
        </w:tc>
      </w:tr>
    </w:tbl>
    <w:p>
      <w:pPr>
        <w:keepNext/>
        <w:keepLines/>
        <w:spacing w:before="300" w:after="300" w:line="280" w:lineRule="exact"/>
        <w:jc w:val="left"/>
        <w:outlineLvl w:val="3"/>
        <w:rPr>
          <w:rFonts w:ascii="宋体" w:hAnsi="宋体" w:eastAsia="宋体" w:cs="宋体"/>
          <w:b/>
          <w:bCs/>
          <w:sz w:val="21"/>
          <w:szCs w:val="21"/>
        </w:rPr>
      </w:pPr>
      <w:bookmarkStart w:id="308" w:name="_Toc989197"/>
      <w:r>
        <w:rPr>
          <w:rFonts w:ascii="宋体" w:hAnsi="宋体" w:eastAsia="宋体" w:cs="宋体"/>
          <w:b/>
          <w:bCs/>
          <w:sz w:val="21"/>
          <w:szCs w:val="21"/>
        </w:rPr>
        <w:t>（4） 未确认递延所得税资产明细</w:t>
      </w:r>
      <w:bookmarkEnd w:id="30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可抵扣暂时性差异</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135,020,143.84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144,211,170.82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可抵扣亏损</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2,732,620,264.79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2,858,114,351.58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2,867,640,408.63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3,002,325,522.40</w:t>
            </w:r>
          </w:p>
        </w:tc>
      </w:tr>
    </w:tbl>
    <w:p>
      <w:pPr>
        <w:keepNext/>
        <w:keepLines/>
        <w:spacing w:before="300" w:after="300" w:line="280" w:lineRule="exact"/>
        <w:jc w:val="left"/>
        <w:outlineLvl w:val="3"/>
        <w:rPr>
          <w:rFonts w:ascii="宋体" w:hAnsi="宋体" w:eastAsia="宋体" w:cs="宋体"/>
          <w:b/>
          <w:bCs/>
          <w:sz w:val="21"/>
          <w:szCs w:val="21"/>
        </w:rPr>
      </w:pPr>
      <w:bookmarkStart w:id="309" w:name="_Toc989198"/>
      <w:r>
        <w:rPr>
          <w:rFonts w:ascii="宋体" w:hAnsi="宋体" w:eastAsia="宋体" w:cs="宋体"/>
          <w:b/>
          <w:bCs/>
          <w:sz w:val="21"/>
          <w:szCs w:val="21"/>
        </w:rPr>
        <w:t>（5） 未确认递延所得税资产的可抵扣亏损将于以下年度到期</w:t>
      </w:r>
      <w:bookmarkEnd w:id="30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年份</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期末金额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期初金额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783,204,841.68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793,762,197.69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471,612,851.78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2026年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470,071,628.61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830,771,147.34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2027年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800,334,785.12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445,456,732.99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2028年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445,338,235.22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327,068,777.79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2029年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223,113,418.15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2,732,620,264.79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2,858,114,351.58</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10" w:name="_Toc989199"/>
      <w:r>
        <w:rPr>
          <w:rFonts w:ascii="宋体" w:hAnsi="宋体" w:eastAsia="宋体" w:cs="宋体"/>
          <w:b/>
          <w:bCs/>
          <w:sz w:val="21"/>
          <w:szCs w:val="21"/>
        </w:rPr>
        <w:t>30、其他非流动资产</w:t>
      </w:r>
      <w:bookmarkEnd w:id="31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留抵的增值税进项税</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1,319,351,392.61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1,319,351,392.61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1,302,715,931.06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1,302,715,931.06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预付工程设备款</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1,848,438,180.05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1,848,438,180.05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1,417,985,884.82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1,417,985,884.82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1,211,069.36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1,211,069.36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3,167,789,572.66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3,167,789,572.66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2,721,912,885.24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2,721,912,885.24</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11" w:name="_Toc989200"/>
      <w:r>
        <w:rPr>
          <w:rFonts w:ascii="宋体" w:hAnsi="宋体" w:eastAsia="宋体" w:cs="宋体"/>
          <w:b/>
          <w:bCs/>
          <w:sz w:val="21"/>
          <w:szCs w:val="21"/>
        </w:rPr>
        <w:t>31、所有权或使用权受到限制的资产</w:t>
      </w:r>
      <w:bookmarkEnd w:id="31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28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w:t>
            </w:r>
          </w:p>
        </w:tc>
        <w:tc>
          <w:tcPr>
            <w:tcW w:w="428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受限类型</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受限情况</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受限类型</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受限情况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货币资金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49,329,713.42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49,329,713.42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保证金、保函押金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保函押金、临时用地复垦工程保证金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60,769,251.65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60,769,251.65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保证金、定期存款</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保函保证金、复垦保证金及存出投资款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固定资产</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3,246,874,599.63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3,246,874,599.63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抵押</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抵押借款、融资租赁抵押</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3,582,561,026.72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3,582,561,026.72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抵押</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长期借款和融资租赁质押借款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5,894,452,623.84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5,894,452,623.84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质押</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电费收费质押借款</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4,973,515,712.29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4,973,515,712.29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质押</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长期借款质押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在建工程</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132,743,362.83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132,743,362.83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抵押</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长期借款和融资租赁质押借款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9,190,656,936.89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9,190,656,936.89</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8,749,589,353.49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8,749,589,353.49</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12" w:name="_Toc989201"/>
      <w:r>
        <w:rPr>
          <w:rFonts w:ascii="宋体" w:hAnsi="宋体" w:eastAsia="宋体" w:cs="宋体"/>
          <w:b/>
          <w:bCs/>
          <w:sz w:val="21"/>
          <w:szCs w:val="21"/>
        </w:rPr>
        <w:t>32、短期借款</w:t>
      </w:r>
      <w:bookmarkEnd w:id="312"/>
    </w:p>
    <w:p>
      <w:pPr>
        <w:keepNext/>
        <w:keepLines/>
        <w:spacing w:before="300" w:after="300" w:line="280" w:lineRule="exact"/>
        <w:jc w:val="left"/>
        <w:outlineLvl w:val="3"/>
        <w:rPr>
          <w:rFonts w:ascii="宋体" w:hAnsi="宋体" w:eastAsia="宋体" w:cs="宋体"/>
          <w:b/>
          <w:bCs/>
          <w:sz w:val="21"/>
          <w:szCs w:val="21"/>
        </w:rPr>
      </w:pPr>
      <w:bookmarkStart w:id="313" w:name="_Toc989202"/>
      <w:r>
        <w:rPr>
          <w:rFonts w:ascii="宋体" w:hAnsi="宋体" w:eastAsia="宋体" w:cs="宋体"/>
          <w:b/>
          <w:bCs/>
          <w:sz w:val="21"/>
          <w:szCs w:val="21"/>
        </w:rPr>
        <w:t>（1） 短期借款分类</w:t>
      </w:r>
      <w:bookmarkEnd w:id="31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质押借款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229,218,129.32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222,531,783.59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信用借款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5,660,556,755.70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6,151,212,873.16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5,889,774,885.02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6,373,744,656.75</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短期借款分类的说明：</w:t>
      </w:r>
    </w:p>
    <w:p>
      <w:pPr>
        <w:keepNext/>
        <w:keepLines/>
        <w:spacing w:before="300" w:after="300" w:line="280" w:lineRule="exact"/>
        <w:jc w:val="left"/>
        <w:outlineLvl w:val="3"/>
        <w:rPr>
          <w:rFonts w:ascii="宋体" w:hAnsi="宋体" w:eastAsia="宋体" w:cs="宋体"/>
          <w:b/>
          <w:bCs/>
          <w:sz w:val="21"/>
          <w:szCs w:val="21"/>
        </w:rPr>
      </w:pPr>
      <w:bookmarkStart w:id="314" w:name="_Toc989203"/>
      <w:r>
        <w:rPr>
          <w:rFonts w:ascii="宋体" w:hAnsi="宋体" w:eastAsia="宋体" w:cs="宋体"/>
          <w:b/>
          <w:bCs/>
          <w:sz w:val="21"/>
          <w:szCs w:val="21"/>
        </w:rPr>
        <w:t>（2） 已逾期未偿还的短期借款情况</w:t>
      </w:r>
      <w:bookmarkEnd w:id="314"/>
    </w:p>
    <w:p>
      <w:pPr>
        <w:spacing w:before="40" w:after="40" w:line="240" w:lineRule="exact"/>
        <w:jc w:val="left"/>
        <w:rPr>
          <w:rFonts w:ascii="宋体" w:hAnsi="宋体" w:eastAsia="宋体" w:cs="宋体"/>
          <w:sz w:val="18"/>
          <w:szCs w:val="18"/>
        </w:rPr>
      </w:pPr>
      <w:r>
        <w:rPr>
          <w:rFonts w:ascii="宋体" w:hAnsi="宋体" w:eastAsia="宋体" w:cs="宋体"/>
          <w:sz w:val="18"/>
          <w:szCs w:val="18"/>
        </w:rPr>
        <w:t>本期末已逾期未偿还的短期借款总额为元，其中重要的已逾期未偿还的短期借款情况如下：</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借款单位</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借款利率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逾期时间</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逾期利率</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15" w:name="_Toc989204"/>
      <w:r>
        <w:rPr>
          <w:rFonts w:ascii="宋体" w:hAnsi="宋体" w:eastAsia="宋体" w:cs="宋体"/>
          <w:b/>
          <w:bCs/>
          <w:sz w:val="21"/>
          <w:szCs w:val="21"/>
        </w:rPr>
        <w:t>33、交易性金融负债</w:t>
      </w:r>
      <w:bookmarkEnd w:id="31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16" w:name="_Toc989205"/>
      <w:r>
        <w:rPr>
          <w:rFonts w:ascii="宋体" w:hAnsi="宋体" w:eastAsia="宋体" w:cs="宋体"/>
          <w:b/>
          <w:bCs/>
          <w:sz w:val="21"/>
          <w:szCs w:val="21"/>
        </w:rPr>
        <w:t>34、衍生金融负债</w:t>
      </w:r>
      <w:bookmarkEnd w:id="316"/>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17" w:name="_Toc989206"/>
      <w:r>
        <w:rPr>
          <w:rFonts w:ascii="宋体" w:hAnsi="宋体" w:eastAsia="宋体" w:cs="宋体"/>
          <w:b/>
          <w:bCs/>
          <w:sz w:val="21"/>
          <w:szCs w:val="21"/>
        </w:rPr>
        <w:t>35、应付票据</w:t>
      </w:r>
      <w:bookmarkEnd w:id="31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种类</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银行承兑汇票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本期末已到期未支付的应付票据总额为元，到期未付的原因为。</w:t>
      </w:r>
    </w:p>
    <w:p>
      <w:pPr>
        <w:keepNext/>
        <w:keepLines/>
        <w:spacing w:before="300" w:after="300" w:line="280" w:lineRule="exact"/>
        <w:jc w:val="left"/>
        <w:outlineLvl w:val="2"/>
        <w:rPr>
          <w:rFonts w:ascii="宋体" w:hAnsi="宋体" w:eastAsia="宋体" w:cs="宋体"/>
          <w:b/>
          <w:bCs/>
          <w:sz w:val="21"/>
          <w:szCs w:val="21"/>
        </w:rPr>
      </w:pPr>
      <w:bookmarkStart w:id="318" w:name="_Toc989207"/>
      <w:r>
        <w:rPr>
          <w:rFonts w:ascii="宋体" w:hAnsi="宋体" w:eastAsia="宋体" w:cs="宋体"/>
          <w:b/>
          <w:bCs/>
          <w:sz w:val="21"/>
          <w:szCs w:val="21"/>
        </w:rPr>
        <w:t>36、应付账款</w:t>
      </w:r>
      <w:bookmarkEnd w:id="318"/>
    </w:p>
    <w:p>
      <w:pPr>
        <w:keepNext/>
        <w:keepLines/>
        <w:spacing w:before="300" w:after="300" w:line="280" w:lineRule="exact"/>
        <w:jc w:val="left"/>
        <w:outlineLvl w:val="3"/>
        <w:rPr>
          <w:rFonts w:ascii="宋体" w:hAnsi="宋体" w:eastAsia="宋体" w:cs="宋体"/>
          <w:b/>
          <w:bCs/>
          <w:sz w:val="18"/>
          <w:szCs w:val="18"/>
        </w:rPr>
      </w:pPr>
      <w:bookmarkStart w:id="319" w:name="_Toc989208"/>
      <w:r>
        <w:rPr>
          <w:rFonts w:ascii="宋体" w:hAnsi="宋体" w:eastAsia="宋体" w:cs="宋体"/>
          <w:b/>
          <w:bCs/>
          <w:sz w:val="18"/>
          <w:szCs w:val="18"/>
        </w:rPr>
        <w:t>（1） 应付账款列示</w:t>
      </w:r>
      <w:bookmarkEnd w:id="31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应付工程、设备款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2,765,852,933.81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2,783,030,596.80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燃料款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136,160,059.87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173,162,546.15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材料款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55,280,954.20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96,386,428.52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修理费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35,530,703.36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65,163,243.99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109,974,253.92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157,706,553.75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3,102,798,905.16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3,275,449,369.21</w:t>
            </w:r>
          </w:p>
        </w:tc>
      </w:tr>
    </w:tbl>
    <w:p>
      <w:pPr>
        <w:keepNext/>
        <w:keepLines/>
        <w:spacing w:before="300" w:after="300" w:line="280" w:lineRule="exact"/>
        <w:jc w:val="left"/>
        <w:outlineLvl w:val="3"/>
        <w:rPr>
          <w:rFonts w:ascii="宋体" w:hAnsi="宋体" w:eastAsia="宋体" w:cs="宋体"/>
          <w:b/>
          <w:bCs/>
          <w:sz w:val="18"/>
          <w:szCs w:val="18"/>
        </w:rPr>
      </w:pPr>
      <w:bookmarkStart w:id="320" w:name="_Toc989209"/>
      <w:r>
        <w:rPr>
          <w:rFonts w:ascii="宋体" w:hAnsi="宋体" w:eastAsia="宋体" w:cs="宋体"/>
          <w:b/>
          <w:bCs/>
          <w:sz w:val="18"/>
          <w:szCs w:val="18"/>
        </w:rPr>
        <w:t>（2） 账龄超过1年或逾期的重要应付账款</w:t>
      </w:r>
      <w:bookmarkEnd w:id="32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未偿还或结转的原因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特变电工新疆新能源股份有限公司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293,879,816.98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尚未结算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中国电建集团河北工程有限公司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211,239,260.97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尚未结算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505,119,077.95</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21" w:name="_Toc989210"/>
      <w:r>
        <w:rPr>
          <w:rFonts w:ascii="宋体" w:hAnsi="宋体" w:eastAsia="宋体" w:cs="宋体"/>
          <w:b/>
          <w:bCs/>
          <w:sz w:val="21"/>
          <w:szCs w:val="21"/>
        </w:rPr>
        <w:t>37、其他应付款</w:t>
      </w:r>
      <w:bookmarkEnd w:id="32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应付股利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76,352,969.89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36,129,493.10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935,106,691.51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988,206,947.19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1,011,459,661.40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1,024,336,440.29</w:t>
            </w:r>
          </w:p>
        </w:tc>
      </w:tr>
    </w:tbl>
    <w:p>
      <w:pPr>
        <w:keepNext/>
        <w:keepLines/>
        <w:spacing w:before="300" w:after="300" w:line="280" w:lineRule="exact"/>
        <w:jc w:val="left"/>
        <w:outlineLvl w:val="3"/>
        <w:rPr>
          <w:rFonts w:ascii="宋体" w:hAnsi="宋体" w:eastAsia="宋体" w:cs="宋体"/>
          <w:b/>
          <w:bCs/>
          <w:sz w:val="21"/>
          <w:szCs w:val="21"/>
        </w:rPr>
      </w:pPr>
      <w:bookmarkStart w:id="322" w:name="_Toc989211"/>
      <w:r>
        <w:rPr>
          <w:rFonts w:ascii="宋体" w:hAnsi="宋体" w:eastAsia="宋体" w:cs="宋体"/>
          <w:b/>
          <w:bCs/>
          <w:sz w:val="21"/>
          <w:szCs w:val="21"/>
        </w:rPr>
        <w:t>（1） 应付利息</w:t>
      </w:r>
      <w:bookmarkEnd w:id="32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重要的已逾期未支付的利息情况：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借款单位</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逾期金额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逾期原因</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323" w:name="_Toc989212"/>
      <w:r>
        <w:rPr>
          <w:rFonts w:ascii="宋体" w:hAnsi="宋体" w:eastAsia="宋体" w:cs="宋体"/>
          <w:b/>
          <w:bCs/>
          <w:sz w:val="21"/>
          <w:szCs w:val="21"/>
        </w:rPr>
        <w:t>（2） 应付股利</w:t>
      </w:r>
      <w:bookmarkEnd w:id="32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普通股股利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76,352,969.89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36,129,493.10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76,352,969.89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36,129,493.10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其他说明，包括重要的超过1年未支付的应付股利，应披露未支付原因：</w:t>
      </w:r>
    </w:p>
    <w:tbl>
      <w:tblPr>
        <w:tblStyle w:val="6"/>
        <w:tblW w:w="9794" w:type="dxa"/>
        <w:jc w:val="center"/>
        <w:tblInd w:w="3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382"/>
        <w:gridCol w:w="2231"/>
        <w:gridCol w:w="218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jc w:val="center"/>
        </w:trPr>
        <w:tc>
          <w:tcPr>
            <w:tcW w:w="538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firstLine="210"/>
              <w:jc w:val="left"/>
              <w:rPr>
                <w:rFonts w:hint="default" w:ascii="Times New Roman" w:hAnsi="Times New Roman" w:cs="Times New Roman"/>
                <w:sz w:val="24"/>
                <w:szCs w:val="24"/>
              </w:rPr>
            </w:pPr>
            <w:r>
              <w:rPr>
                <w:rFonts w:hint="eastAsia" w:ascii="宋体" w:hAnsi="宋体" w:eastAsia="宋体" w:cs="宋体"/>
                <w:sz w:val="21"/>
                <w:szCs w:val="21"/>
              </w:rPr>
              <w:t>股东单位名称</w:t>
            </w:r>
          </w:p>
        </w:tc>
        <w:tc>
          <w:tcPr>
            <w:tcW w:w="223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宋体" w:hAnsi="宋体" w:eastAsia="宋体" w:cs="宋体"/>
                <w:sz w:val="21"/>
                <w:szCs w:val="21"/>
              </w:rPr>
              <w:t>期末数</w:t>
            </w:r>
          </w:p>
        </w:tc>
        <w:tc>
          <w:tcPr>
            <w:tcW w:w="2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宋体" w:hAnsi="宋体" w:eastAsia="宋体" w:cs="宋体"/>
                <w:sz w:val="21"/>
                <w:szCs w:val="21"/>
              </w:rPr>
              <w:t>未支付原因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jc w:val="center"/>
        </w:trPr>
        <w:tc>
          <w:tcPr>
            <w:tcW w:w="538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eastAsia" w:ascii="宋体" w:hAnsi="宋体" w:eastAsia="宋体" w:cs="宋体"/>
                <w:sz w:val="21"/>
                <w:szCs w:val="21"/>
              </w:rPr>
              <w:t>特变电工新疆新能源股份有限公司</w:t>
            </w:r>
          </w:p>
        </w:tc>
        <w:tc>
          <w:tcPr>
            <w:tcW w:w="22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rPr>
                <w:rFonts w:hint="default" w:ascii="Times New Roman" w:hAnsi="Times New Roman" w:cs="Times New Roman"/>
                <w:sz w:val="24"/>
                <w:szCs w:val="24"/>
              </w:rPr>
            </w:pPr>
            <w:r>
              <w:rPr>
                <w:rFonts w:hint="eastAsia" w:ascii="宋体" w:hAnsi="宋体" w:eastAsia="宋体" w:cs="宋体"/>
                <w:sz w:val="21"/>
                <w:szCs w:val="21"/>
              </w:rPr>
              <w:t>17,149,627.53</w:t>
            </w:r>
          </w:p>
        </w:tc>
        <w:tc>
          <w:tcPr>
            <w:tcW w:w="2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宋体" w:hAnsi="宋体" w:eastAsia="宋体" w:cs="宋体"/>
                <w:sz w:val="21"/>
                <w:szCs w:val="21"/>
              </w:rPr>
              <w:t>尚未结算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jc w:val="center"/>
        </w:trPr>
        <w:tc>
          <w:tcPr>
            <w:tcW w:w="538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firstLine="210"/>
              <w:jc w:val="left"/>
              <w:rPr>
                <w:rFonts w:hint="default" w:ascii="Times New Roman" w:hAnsi="Times New Roman" w:cs="Times New Roman"/>
                <w:sz w:val="24"/>
                <w:szCs w:val="24"/>
              </w:rPr>
            </w:pPr>
            <w:r>
              <w:rPr>
                <w:rFonts w:hint="eastAsia" w:ascii="宋体" w:hAnsi="宋体" w:eastAsia="宋体" w:cs="宋体"/>
                <w:sz w:val="21"/>
                <w:szCs w:val="21"/>
              </w:rPr>
              <w:t>小  计</w:t>
            </w:r>
          </w:p>
        </w:tc>
        <w:tc>
          <w:tcPr>
            <w:tcW w:w="22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rPr>
                <w:rFonts w:hint="default" w:ascii="Times New Roman" w:hAnsi="Times New Roman" w:cs="Times New Roman"/>
                <w:sz w:val="24"/>
                <w:szCs w:val="24"/>
              </w:rPr>
            </w:pPr>
            <w:r>
              <w:rPr>
                <w:rFonts w:hint="eastAsia" w:ascii="宋体" w:hAnsi="宋体" w:eastAsia="宋体" w:cs="宋体"/>
                <w:sz w:val="21"/>
                <w:szCs w:val="21"/>
              </w:rPr>
              <w:t>17,149,627.53</w:t>
            </w:r>
          </w:p>
        </w:tc>
        <w:tc>
          <w:tcPr>
            <w:tcW w:w="2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1"/>
                <w:szCs w:val="21"/>
              </w:rPr>
              <w:t> </w:t>
            </w:r>
          </w:p>
        </w:tc>
      </w:tr>
    </w:tbl>
    <w:p>
      <w:pPr>
        <w:keepNext/>
        <w:keepLines/>
        <w:spacing w:before="300" w:after="300" w:line="280" w:lineRule="exact"/>
        <w:jc w:val="left"/>
        <w:outlineLvl w:val="3"/>
        <w:rPr>
          <w:rFonts w:ascii="宋体" w:hAnsi="宋体" w:eastAsia="宋体" w:cs="宋体"/>
          <w:b/>
          <w:bCs/>
          <w:sz w:val="21"/>
          <w:szCs w:val="21"/>
        </w:rPr>
      </w:pPr>
      <w:bookmarkStart w:id="324" w:name="_Toc989213"/>
      <w:r>
        <w:rPr>
          <w:rFonts w:ascii="宋体" w:hAnsi="宋体" w:eastAsia="宋体" w:cs="宋体"/>
          <w:b/>
          <w:bCs/>
          <w:sz w:val="21"/>
          <w:szCs w:val="21"/>
        </w:rPr>
        <w:t>（3） 其他应付款</w:t>
      </w:r>
      <w:bookmarkEnd w:id="324"/>
    </w:p>
    <w:p>
      <w:pPr>
        <w:keepNext/>
        <w:keepLines/>
        <w:spacing w:before="300" w:after="300" w:line="280" w:lineRule="exact"/>
        <w:jc w:val="left"/>
        <w:outlineLvl w:val="4"/>
        <w:rPr>
          <w:rFonts w:ascii="宋体" w:hAnsi="宋体" w:eastAsia="宋体" w:cs="宋体"/>
          <w:b/>
          <w:bCs/>
          <w:sz w:val="18"/>
          <w:szCs w:val="18"/>
        </w:rPr>
      </w:pPr>
      <w:bookmarkStart w:id="325" w:name="_Toc989214"/>
      <w:r>
        <w:rPr>
          <w:rFonts w:ascii="宋体" w:hAnsi="宋体" w:eastAsia="宋体" w:cs="宋体"/>
          <w:b/>
          <w:bCs/>
          <w:sz w:val="18"/>
          <w:szCs w:val="18"/>
        </w:rPr>
        <w:t>1） 按款项性质列示其他应付款</w:t>
      </w:r>
      <w:bookmarkEnd w:id="32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643,876,223.60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707,886,933.95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工程保证金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254,926,096.80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228,124,837.88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社保代扣代缴款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13,784,510.93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28,664,888.28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22,519,860.18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23,530,287.08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935,106,691.51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988,206,947.19</w:t>
            </w:r>
          </w:p>
        </w:tc>
      </w:tr>
    </w:tbl>
    <w:p>
      <w:pPr>
        <w:keepNext/>
        <w:keepLines/>
        <w:spacing w:before="300" w:after="300" w:line="280" w:lineRule="exact"/>
        <w:jc w:val="left"/>
        <w:outlineLvl w:val="4"/>
        <w:rPr>
          <w:rFonts w:ascii="宋体" w:hAnsi="宋体" w:eastAsia="宋体" w:cs="宋体"/>
          <w:b/>
          <w:bCs/>
          <w:sz w:val="18"/>
          <w:szCs w:val="18"/>
        </w:rPr>
      </w:pPr>
      <w:bookmarkStart w:id="326" w:name="_Toc989215"/>
      <w:r>
        <w:rPr>
          <w:rFonts w:ascii="宋体" w:hAnsi="宋体" w:eastAsia="宋体" w:cs="宋体"/>
          <w:b/>
          <w:bCs/>
          <w:sz w:val="18"/>
          <w:szCs w:val="18"/>
        </w:rPr>
        <w:t>2） 账龄超过1年或逾期的重要其他应付款</w:t>
      </w:r>
      <w:bookmarkEnd w:id="32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未偿还或结转的原因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阳光电源股份有限公司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74,130,956.44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尚未结算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74,130,956.44</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27" w:name="_Toc989216"/>
      <w:r>
        <w:rPr>
          <w:rFonts w:ascii="宋体" w:hAnsi="宋体" w:eastAsia="宋体" w:cs="宋体"/>
          <w:b/>
          <w:bCs/>
          <w:sz w:val="21"/>
          <w:szCs w:val="21"/>
        </w:rPr>
        <w:t>38、预收款项</w:t>
      </w:r>
      <w:bookmarkEnd w:id="327"/>
    </w:p>
    <w:p>
      <w:pPr>
        <w:keepNext/>
        <w:keepLines/>
        <w:spacing w:before="300" w:after="300" w:line="280" w:lineRule="exact"/>
        <w:jc w:val="left"/>
        <w:outlineLvl w:val="3"/>
        <w:rPr>
          <w:rFonts w:ascii="宋体" w:hAnsi="宋体" w:eastAsia="宋体" w:cs="宋体"/>
          <w:b/>
          <w:bCs/>
          <w:sz w:val="21"/>
          <w:szCs w:val="21"/>
        </w:rPr>
      </w:pPr>
      <w:bookmarkStart w:id="328" w:name="_Toc989217"/>
      <w:r>
        <w:rPr>
          <w:rFonts w:ascii="宋体" w:hAnsi="宋体" w:eastAsia="宋体" w:cs="宋体"/>
          <w:b/>
          <w:bCs/>
          <w:sz w:val="21"/>
          <w:szCs w:val="21"/>
        </w:rPr>
        <w:t>（1） 预收款项列示</w:t>
      </w:r>
      <w:bookmarkEnd w:id="32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bl>
    <w:p>
      <w:pPr>
        <w:keepNext/>
        <w:keepLines/>
        <w:spacing w:before="300" w:after="300" w:line="280" w:lineRule="exact"/>
        <w:jc w:val="left"/>
        <w:outlineLvl w:val="3"/>
        <w:rPr>
          <w:rFonts w:ascii="宋体" w:hAnsi="宋体" w:eastAsia="宋体" w:cs="宋体"/>
          <w:b/>
          <w:bCs/>
          <w:sz w:val="21"/>
          <w:szCs w:val="21"/>
        </w:rPr>
      </w:pPr>
      <w:bookmarkStart w:id="329" w:name="_Toc989218"/>
      <w:r>
        <w:rPr>
          <w:rFonts w:ascii="宋体" w:hAnsi="宋体" w:eastAsia="宋体" w:cs="宋体"/>
          <w:b/>
          <w:bCs/>
          <w:sz w:val="21"/>
          <w:szCs w:val="21"/>
        </w:rPr>
        <w:t>（2） 账龄超过1年或逾期的重要预收款项</w:t>
      </w:r>
      <w:bookmarkEnd w:id="32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未偿还或结转的原因</w:t>
            </w:r>
          </w:p>
        </w:tc>
      </w:tr>
    </w:tbl>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变动金额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变动原因</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30" w:name="_Toc989219"/>
      <w:r>
        <w:rPr>
          <w:rFonts w:ascii="宋体" w:hAnsi="宋体" w:eastAsia="宋体" w:cs="宋体"/>
          <w:b/>
          <w:bCs/>
          <w:sz w:val="21"/>
          <w:szCs w:val="21"/>
        </w:rPr>
        <w:t>39、合同负债</w:t>
      </w:r>
      <w:bookmarkEnd w:id="33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商品销售款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15,671,914.91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361,211,131.68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26,508,947.89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28,691,412.62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495,979.02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493,347.57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42,676,841.82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390,395,891.87</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账龄超过1年的重要合同负债</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未偿还或结转的原因</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报告期内账面价值发生重大变动的金额和原因</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20"/>
        <w:gridCol w:w="820"/>
        <w:gridCol w:w="80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变动金额</w:t>
            </w:r>
          </w:p>
        </w:tc>
        <w:tc>
          <w:tcPr>
            <w:tcW w:w="8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变动原因</w:t>
            </w:r>
          </w:p>
        </w:tc>
      </w:tr>
    </w:tbl>
    <w:p>
      <w:pPr>
        <w:keepNext/>
        <w:keepLines/>
        <w:spacing w:before="300" w:after="300" w:line="280" w:lineRule="exact"/>
        <w:jc w:val="left"/>
        <w:outlineLvl w:val="2"/>
        <w:rPr>
          <w:rFonts w:ascii="宋体" w:hAnsi="宋体" w:eastAsia="宋体" w:cs="宋体"/>
          <w:b/>
          <w:bCs/>
          <w:sz w:val="21"/>
          <w:szCs w:val="21"/>
        </w:rPr>
      </w:pPr>
      <w:bookmarkStart w:id="331" w:name="_Toc989220"/>
      <w:r>
        <w:rPr>
          <w:rFonts w:ascii="宋体" w:hAnsi="宋体" w:eastAsia="宋体" w:cs="宋体"/>
          <w:b/>
          <w:bCs/>
          <w:sz w:val="21"/>
          <w:szCs w:val="21"/>
        </w:rPr>
        <w:t>40、应付职工薪酬</w:t>
      </w:r>
      <w:bookmarkEnd w:id="331"/>
    </w:p>
    <w:p>
      <w:pPr>
        <w:keepNext/>
        <w:keepLines/>
        <w:spacing w:before="300" w:after="300" w:line="280" w:lineRule="exact"/>
        <w:jc w:val="left"/>
        <w:outlineLvl w:val="3"/>
        <w:rPr>
          <w:rFonts w:ascii="宋体" w:hAnsi="宋体" w:eastAsia="宋体" w:cs="宋体"/>
          <w:b/>
          <w:bCs/>
          <w:sz w:val="21"/>
          <w:szCs w:val="21"/>
        </w:rPr>
      </w:pPr>
      <w:bookmarkStart w:id="332" w:name="_Toc989221"/>
      <w:r>
        <w:rPr>
          <w:rFonts w:ascii="宋体" w:hAnsi="宋体" w:eastAsia="宋体" w:cs="宋体"/>
          <w:b/>
          <w:bCs/>
          <w:sz w:val="21"/>
          <w:szCs w:val="21"/>
        </w:rPr>
        <w:t>（1） 应付职工薪酬列示</w:t>
      </w:r>
      <w:bookmarkEnd w:id="33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一、短期薪酬</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55,623,613.16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384,242,937.81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349,161,824.97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90,704,726.00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二、离职后福利-设定提存计划</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12,881,228.38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82,672,283.28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82,748,695.37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12,804,816.29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三、辞退福利</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453,683.99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161,446.37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292,237.62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68,958,525.53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466,915,221.09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432,071,966.71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103,801,779.91</w:t>
            </w:r>
          </w:p>
        </w:tc>
      </w:tr>
    </w:tbl>
    <w:p>
      <w:pPr>
        <w:keepNext/>
        <w:keepLines/>
        <w:spacing w:before="300" w:after="300" w:line="280" w:lineRule="exact"/>
        <w:jc w:val="left"/>
        <w:outlineLvl w:val="3"/>
        <w:rPr>
          <w:rFonts w:ascii="宋体" w:hAnsi="宋体" w:eastAsia="宋体" w:cs="宋体"/>
          <w:b/>
          <w:bCs/>
          <w:sz w:val="21"/>
          <w:szCs w:val="21"/>
        </w:rPr>
      </w:pPr>
      <w:bookmarkStart w:id="333" w:name="_Toc989222"/>
      <w:r>
        <w:rPr>
          <w:rFonts w:ascii="宋体" w:hAnsi="宋体" w:eastAsia="宋体" w:cs="宋体"/>
          <w:b/>
          <w:bCs/>
          <w:sz w:val="21"/>
          <w:szCs w:val="21"/>
        </w:rPr>
        <w:t>（2） 短期薪酬列示</w:t>
      </w:r>
      <w:bookmarkEnd w:id="33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1、工资、奖金、津贴和补贴</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47,222,558.00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264,476,411.90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229,035,329.90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82,663,640.00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2、职工福利费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16,433,191.68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16,433,191.68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3、社会保险费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2,835,817.62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47,149,496.17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45,352,386.17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4,632,927.62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其中：医疗保险费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2,742,686.99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44,960,560.60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43,164,689.95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4,538,557.64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工伤保险费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93,130.63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2,188,935.57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2,187,696.22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94,369.98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4、住房公积金</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46,515,463.40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46,514,498.40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965.00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5、工会经费和职工教育经费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5,565,237.54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9,668,374.66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11,826,418.82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3,407,193.38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55,623,613.16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384,242,937.81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349,161,824.97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90,704,726.00</w:t>
            </w:r>
          </w:p>
        </w:tc>
      </w:tr>
    </w:tbl>
    <w:p>
      <w:pPr>
        <w:keepNext/>
        <w:keepLines/>
        <w:spacing w:before="300" w:after="300" w:line="280" w:lineRule="exact"/>
        <w:jc w:val="left"/>
        <w:outlineLvl w:val="3"/>
        <w:rPr>
          <w:rFonts w:ascii="宋体" w:hAnsi="宋体" w:eastAsia="宋体" w:cs="宋体"/>
          <w:b/>
          <w:bCs/>
          <w:sz w:val="21"/>
          <w:szCs w:val="21"/>
        </w:rPr>
      </w:pPr>
      <w:bookmarkStart w:id="334" w:name="_Toc989223"/>
      <w:r>
        <w:rPr>
          <w:rFonts w:ascii="宋体" w:hAnsi="宋体" w:eastAsia="宋体" w:cs="宋体"/>
          <w:b/>
          <w:bCs/>
          <w:sz w:val="21"/>
          <w:szCs w:val="21"/>
        </w:rPr>
        <w:t>（3） 设定提存计划列示</w:t>
      </w:r>
      <w:bookmarkEnd w:id="33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1、基本养老保险</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154,647.26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60,292,151.69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60,254,214.57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192,584.38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2、失业保险费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449,740.64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2,503,891.55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2,731,102.65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222,529.54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3、企业年金缴费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12,276,840.48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19,876,240.04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19,763,378.15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12,389,702.37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12,881,228.38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82,672,283.28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82,748,695.37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12,804,816.29</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35" w:name="_Toc989224"/>
      <w:r>
        <w:rPr>
          <w:rFonts w:ascii="宋体" w:hAnsi="宋体" w:eastAsia="宋体" w:cs="宋体"/>
          <w:b/>
          <w:bCs/>
          <w:sz w:val="21"/>
          <w:szCs w:val="21"/>
        </w:rPr>
        <w:t>41、应交税费</w:t>
      </w:r>
      <w:bookmarkEnd w:id="33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增值税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61,286,659.63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70,197,167.65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企业所得税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114,208,236.38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77,048,029.65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个人所得税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636,061.07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21,359,092.37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城市维护建设税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1,530,889.95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762,087.41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房产税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484,299.55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275,899.93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土地使用税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5,013,315.86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5,330,265.28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印花税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2,292,758.11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3,625,455.42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教育费附加（包含地方教育附加）</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1,522,592.69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692,755.35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环境保护税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279,534.78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707,817.88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政策性税费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272,014.69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2,153,941.26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187,526,362.71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182,152,512.20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36" w:name="_Toc989225"/>
      <w:r>
        <w:rPr>
          <w:rFonts w:ascii="宋体" w:hAnsi="宋体" w:eastAsia="宋体" w:cs="宋体"/>
          <w:b/>
          <w:bCs/>
          <w:sz w:val="21"/>
          <w:szCs w:val="21"/>
        </w:rPr>
        <w:t>42、持有待售负债</w:t>
      </w:r>
      <w:bookmarkEnd w:id="33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37" w:name="_Toc989226"/>
      <w:r>
        <w:rPr>
          <w:rFonts w:ascii="宋体" w:hAnsi="宋体" w:eastAsia="宋体" w:cs="宋体"/>
          <w:b/>
          <w:bCs/>
          <w:sz w:val="21"/>
          <w:szCs w:val="21"/>
        </w:rPr>
        <w:t>43、一年内到期的非流动负债</w:t>
      </w:r>
      <w:bookmarkEnd w:id="33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一年内到期的长期借款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5,052,386,925.17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4,281,233,646.77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一年内到期的应付债券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45,281,426.84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45,281,426.84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一年内到期的长期应付款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468,299,252.48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1,012,923,966.43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一年内到期的租赁负债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55,729,259.31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56,659,903.86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5,621,696,863.80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5,396,098,943.90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38" w:name="_Toc989227"/>
      <w:r>
        <w:rPr>
          <w:rFonts w:ascii="宋体" w:hAnsi="宋体" w:eastAsia="宋体" w:cs="宋体"/>
          <w:b/>
          <w:bCs/>
          <w:sz w:val="21"/>
          <w:szCs w:val="21"/>
        </w:rPr>
        <w:t>44、其他流动负债</w:t>
      </w:r>
      <w:bookmarkEnd w:id="33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短期应付债券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700,742,958.90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待转销项税额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19,512,602.03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31,149,769.47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19,512,602.03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731,892,728.37</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短期应付债券的增减变动：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9"/>
        <w:gridCol w:w="689"/>
        <w:gridCol w:w="689"/>
        <w:gridCol w:w="689"/>
        <w:gridCol w:w="689"/>
        <w:gridCol w:w="689"/>
        <w:gridCol w:w="689"/>
        <w:gridCol w:w="689"/>
        <w:gridCol w:w="689"/>
        <w:gridCol w:w="689"/>
        <w:gridCol w:w="689"/>
        <w:gridCol w:w="689"/>
        <w:gridCol w:w="689"/>
        <w:gridCol w:w="68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债券名称</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面值</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票面利率</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发行日期</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债券期限</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发行金额</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本期发行</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按面值计提利息</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溢折价摊销</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本期偿还</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是否违约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 电力 股份 有限 公司 2023年度 第三 期超 短期 融资 券</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2.98%</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2023年12月18日</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30天</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700,742,958.90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966,877.17</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701,709,836.07</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吉林电力股份有限公司2024年度第一期超短期融资券</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2.18%</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2024年02月29日</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28天</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1,672,328.77</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1,001,672,328.77</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吉林电力股份有限公司2024年度第二期超短期融资券</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1.93%</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2024年04月19日</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39天</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412,438.36</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200,412,438.36</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1,900,000,000.00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700,742,958.90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1,200,000,000.00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3,051,644.30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1,903,794,603.20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39" w:name="_Toc989228"/>
      <w:r>
        <w:rPr>
          <w:rFonts w:ascii="宋体" w:hAnsi="宋体" w:eastAsia="宋体" w:cs="宋体"/>
          <w:b/>
          <w:bCs/>
          <w:sz w:val="21"/>
          <w:szCs w:val="21"/>
        </w:rPr>
        <w:t>45、长期借款</w:t>
      </w:r>
      <w:bookmarkEnd w:id="339"/>
    </w:p>
    <w:p>
      <w:pPr>
        <w:keepNext/>
        <w:keepLines/>
        <w:spacing w:before="300" w:after="300" w:line="280" w:lineRule="exact"/>
        <w:jc w:val="left"/>
        <w:outlineLvl w:val="3"/>
        <w:rPr>
          <w:rFonts w:ascii="宋体" w:hAnsi="宋体" w:eastAsia="宋体" w:cs="宋体"/>
          <w:b/>
          <w:bCs/>
          <w:sz w:val="18"/>
          <w:szCs w:val="18"/>
        </w:rPr>
      </w:pPr>
      <w:bookmarkStart w:id="340" w:name="_Toc989229"/>
      <w:r>
        <w:rPr>
          <w:rFonts w:ascii="宋体" w:hAnsi="宋体" w:eastAsia="宋体" w:cs="宋体"/>
          <w:b/>
          <w:bCs/>
          <w:sz w:val="18"/>
          <w:szCs w:val="18"/>
        </w:rPr>
        <w:t>（1） 长期借款分类</w:t>
      </w:r>
      <w:bookmarkEnd w:id="34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质押借款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10,314,517,614.75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10,412,756,542.76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抵押借款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698,011,717.60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770,011,717.60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信用借款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25,342,224,827.28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21,784,123,316.05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36,354,754,159.63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32,966,891,576.41</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长期借款分类的说明：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其他说明，包括利率区间：</w:t>
      </w:r>
    </w:p>
    <w:p>
      <w:pPr>
        <w:keepNext/>
        <w:keepLines/>
        <w:spacing w:before="300" w:after="300" w:line="280" w:lineRule="exact"/>
        <w:jc w:val="left"/>
        <w:outlineLvl w:val="2"/>
        <w:rPr>
          <w:rFonts w:ascii="宋体" w:hAnsi="宋体" w:eastAsia="宋体" w:cs="宋体"/>
          <w:b/>
          <w:bCs/>
          <w:sz w:val="21"/>
          <w:szCs w:val="21"/>
        </w:rPr>
      </w:pPr>
      <w:bookmarkStart w:id="341" w:name="_Toc989230"/>
      <w:r>
        <w:rPr>
          <w:rFonts w:ascii="宋体" w:hAnsi="宋体" w:eastAsia="宋体" w:cs="宋体"/>
          <w:b/>
          <w:bCs/>
          <w:sz w:val="21"/>
          <w:szCs w:val="21"/>
        </w:rPr>
        <w:t>46、应付债券</w:t>
      </w:r>
      <w:bookmarkEnd w:id="341"/>
    </w:p>
    <w:p>
      <w:pPr>
        <w:keepNext/>
        <w:keepLines/>
        <w:spacing w:before="300" w:after="300" w:line="280" w:lineRule="exact"/>
        <w:jc w:val="left"/>
        <w:outlineLvl w:val="3"/>
        <w:rPr>
          <w:rFonts w:ascii="宋体" w:hAnsi="宋体" w:eastAsia="宋体" w:cs="宋体"/>
          <w:b/>
          <w:bCs/>
          <w:sz w:val="21"/>
          <w:szCs w:val="21"/>
        </w:rPr>
      </w:pPr>
      <w:bookmarkStart w:id="342" w:name="_Toc989231"/>
      <w:r>
        <w:rPr>
          <w:rFonts w:ascii="宋体" w:hAnsi="宋体" w:eastAsia="宋体" w:cs="宋体"/>
          <w:b/>
          <w:bCs/>
          <w:sz w:val="21"/>
          <w:szCs w:val="21"/>
        </w:rPr>
        <w:t>（1） 应付债券</w:t>
      </w:r>
      <w:bookmarkEnd w:id="34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2022年面向专业投资者公开发行绿色公司债券（专项用于碳中和）（第一期）</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978,160,161.11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996,823,182.45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2022年面向专业投资者公开发行绿色乡村振兴公司债券（专项用于碳中和）（第二期）</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1,013,133,868.63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998,253,247.95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2023年度第一期中期票据（可持续挂钩/乡村振兴）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1,015,662,041.70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999,267,339.54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2023年面向专业机构投资者公开发行科技创新绿色乡村振兴公司债券（专项用于碳中和）（第一期）</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506,196,308.12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498,541,177.63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3,513,152,379.56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3,492,884,947.57</w:t>
            </w:r>
          </w:p>
        </w:tc>
      </w:tr>
    </w:tbl>
    <w:p>
      <w:pPr>
        <w:keepNext/>
        <w:keepLines/>
        <w:spacing w:before="300" w:after="300" w:line="280" w:lineRule="exact"/>
        <w:jc w:val="left"/>
        <w:outlineLvl w:val="3"/>
        <w:rPr>
          <w:rFonts w:ascii="宋体" w:hAnsi="宋体" w:eastAsia="宋体" w:cs="宋体"/>
          <w:b/>
          <w:bCs/>
          <w:sz w:val="21"/>
          <w:szCs w:val="21"/>
        </w:rPr>
      </w:pPr>
      <w:bookmarkStart w:id="343" w:name="_Toc989232"/>
      <w:r>
        <w:rPr>
          <w:rFonts w:ascii="宋体" w:hAnsi="宋体" w:eastAsia="宋体" w:cs="宋体"/>
          <w:b/>
          <w:bCs/>
          <w:sz w:val="21"/>
          <w:szCs w:val="21"/>
        </w:rPr>
        <w:t>（2） 应付债券的增减变动（不包括划分为金融负债的优先股、永续债等其他金融工具）</w:t>
      </w:r>
      <w:bookmarkEnd w:id="34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9"/>
        <w:gridCol w:w="689"/>
        <w:gridCol w:w="689"/>
        <w:gridCol w:w="689"/>
        <w:gridCol w:w="689"/>
        <w:gridCol w:w="689"/>
        <w:gridCol w:w="689"/>
        <w:gridCol w:w="689"/>
        <w:gridCol w:w="689"/>
        <w:gridCol w:w="689"/>
        <w:gridCol w:w="689"/>
        <w:gridCol w:w="689"/>
        <w:gridCol w:w="689"/>
        <w:gridCol w:w="68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债券名称</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面值</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票面利率</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发行日期</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债券期限</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发行金额</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本期发行</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按面值计提利息</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溢折价摊销</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本期偿还</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是否违约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2022年面向专业投资者公开发行绿色公司债券（专项用于碳中和）（第一期）</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2022年03月17日</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5年期</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995,000,000.00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996,823,182.45</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18,843,835.62</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493,143.04</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38,000,000.00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978,160,161.11</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2022年面向专业投资者公开发行绿色乡村振兴公司债券（专项用于碳中和）（第二期）</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2022年10月24日</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3年期</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997,000,000.00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998,253,247.95</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14,380,821.92</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499,798.76</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1,013,133,868.63</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2023年度第一期中期票据（可持续挂钩/乡村振兴）</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3.28%</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2023年09月27日</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3年期</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999,199,200.00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999,267,339.54</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16,265,205.52</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129,496.64</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1,015,662,041.70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2023年面向专业机构投资者公开发行科技创新绿色乡村振兴公司债券（专项用于碳中和）（第一期）</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2.99%</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2023年12月01日</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3年期</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498,500,000.00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498,541,177.63</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7,413,561.64</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241,568.85</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506,196,308.12</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3,489,699,200.00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3,492,884,947.57</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56,903,424.70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1,364,007.29</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38,000,000.00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3,513,152,379.56</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keepNext/>
        <w:keepLines/>
        <w:spacing w:before="300" w:after="300" w:line="280" w:lineRule="exact"/>
        <w:jc w:val="left"/>
        <w:outlineLvl w:val="3"/>
        <w:rPr>
          <w:rFonts w:ascii="宋体" w:hAnsi="宋体" w:eastAsia="宋体" w:cs="宋体"/>
          <w:b/>
          <w:bCs/>
          <w:sz w:val="21"/>
          <w:szCs w:val="21"/>
        </w:rPr>
      </w:pPr>
      <w:bookmarkStart w:id="344" w:name="_Toc989233"/>
      <w:r>
        <w:rPr>
          <w:rFonts w:ascii="宋体" w:hAnsi="宋体" w:eastAsia="宋体" w:cs="宋体"/>
          <w:b/>
          <w:bCs/>
          <w:sz w:val="21"/>
          <w:szCs w:val="21"/>
        </w:rPr>
        <w:t>（3） 可转换公司债券的说明</w:t>
      </w:r>
      <w:bookmarkEnd w:id="344"/>
    </w:p>
    <w:p>
      <w:pPr>
        <w:keepNext/>
        <w:keepLines/>
        <w:spacing w:before="300" w:after="300" w:line="280" w:lineRule="exact"/>
        <w:jc w:val="left"/>
        <w:outlineLvl w:val="3"/>
        <w:rPr>
          <w:rFonts w:ascii="宋体" w:hAnsi="宋体" w:eastAsia="宋体" w:cs="宋体"/>
          <w:b/>
          <w:bCs/>
          <w:sz w:val="21"/>
          <w:szCs w:val="21"/>
        </w:rPr>
      </w:pPr>
      <w:bookmarkStart w:id="345" w:name="_Toc989234"/>
      <w:r>
        <w:rPr>
          <w:rFonts w:ascii="宋体" w:hAnsi="宋体" w:eastAsia="宋体" w:cs="宋体"/>
          <w:b/>
          <w:bCs/>
          <w:sz w:val="21"/>
          <w:szCs w:val="21"/>
        </w:rPr>
        <w:t>（4） 划分为金融负债的其他金融工具说明</w:t>
      </w:r>
      <w:bookmarkEnd w:id="345"/>
    </w:p>
    <w:p>
      <w:pPr>
        <w:spacing w:before="100" w:after="100" w:line="240" w:lineRule="exact"/>
        <w:jc w:val="left"/>
        <w:rPr>
          <w:rFonts w:ascii="宋体" w:hAnsi="宋体" w:eastAsia="宋体" w:cs="宋体"/>
          <w:sz w:val="18"/>
          <w:szCs w:val="18"/>
        </w:rPr>
      </w:pPr>
      <w:r>
        <w:rPr>
          <w:rFonts w:ascii="宋体" w:hAnsi="宋体" w:eastAsia="宋体" w:cs="宋体"/>
          <w:sz w:val="18"/>
          <w:szCs w:val="18"/>
        </w:rPr>
        <w:t>期末发行在外的优先股、永续债等其他金融工具基本情况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期末发行在外的优先股、永续债等金融工具变动情况表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发行在外的金融工具</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其他金融工具划分为金融负债的依据说明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46" w:name="_Toc989235"/>
      <w:r>
        <w:rPr>
          <w:rFonts w:ascii="宋体" w:hAnsi="宋体" w:eastAsia="宋体" w:cs="宋体"/>
          <w:b/>
          <w:bCs/>
          <w:sz w:val="21"/>
          <w:szCs w:val="21"/>
        </w:rPr>
        <w:t>47、租赁负债</w:t>
      </w:r>
      <w:bookmarkEnd w:id="34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租赁付款额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1,560,995,585.58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1,558,875,050.52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减：未确认的融资费用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-517,644,112.11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-532,842,256.21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重分类至一年内到期的非流动负债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-55,729,259.31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-56,659,903.86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987,622,214.16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969,372,890.45</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47" w:name="_Toc989236"/>
      <w:r>
        <w:rPr>
          <w:rFonts w:ascii="宋体" w:hAnsi="宋体" w:eastAsia="宋体" w:cs="宋体"/>
          <w:b/>
          <w:bCs/>
          <w:sz w:val="21"/>
          <w:szCs w:val="21"/>
        </w:rPr>
        <w:t>48、长期应付款</w:t>
      </w:r>
      <w:bookmarkEnd w:id="34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长期应付款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1,464,564,823.23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1,742,030,940.63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专项应付款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190,640,000.00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190,640,000.00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1,655,204,823.23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1,932,670,940.63</w:t>
            </w:r>
          </w:p>
        </w:tc>
      </w:tr>
    </w:tbl>
    <w:p>
      <w:pPr>
        <w:keepNext/>
        <w:keepLines/>
        <w:spacing w:before="300" w:after="300" w:line="280" w:lineRule="exact"/>
        <w:jc w:val="left"/>
        <w:outlineLvl w:val="3"/>
        <w:rPr>
          <w:rFonts w:ascii="宋体" w:hAnsi="宋体" w:eastAsia="宋体" w:cs="宋体"/>
          <w:b/>
          <w:bCs/>
          <w:sz w:val="18"/>
          <w:szCs w:val="18"/>
        </w:rPr>
      </w:pPr>
      <w:bookmarkStart w:id="348" w:name="_Toc989237"/>
      <w:r>
        <w:rPr>
          <w:rFonts w:ascii="宋体" w:hAnsi="宋体" w:eastAsia="宋体" w:cs="宋体"/>
          <w:b/>
          <w:bCs/>
          <w:sz w:val="18"/>
          <w:szCs w:val="18"/>
        </w:rPr>
        <w:t>（1） 按款项性质列示长期应付款</w:t>
      </w:r>
      <w:bookmarkEnd w:id="34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应付融资租赁款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1,672,967,397.03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2,518,047,989.00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应付扶贫项目款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378,517,229.00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400,414,450.76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应付节能减排款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71,290,000.00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71,290,000.00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10,603,262.54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10,237,671.14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减：未确认融资费用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200,513,812.86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245,035,203.84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减：一年内到期非流动负债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468,299,252.48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1,012,923,966.43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小  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1,464,564,823.23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1,742,030,940.63</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349" w:name="_Toc989238"/>
      <w:r>
        <w:rPr>
          <w:rFonts w:ascii="宋体" w:hAnsi="宋体" w:eastAsia="宋体" w:cs="宋体"/>
          <w:b/>
          <w:bCs/>
          <w:sz w:val="18"/>
          <w:szCs w:val="18"/>
        </w:rPr>
        <w:t>（2） 专项应付款</w:t>
      </w:r>
      <w:bookmarkEnd w:id="34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形成原因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珠恩嘎达布其口岸百万吨储煤基地项目</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储煤基地项目建设财政补贴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国家发改委拨大安吉电风光制绿氢合成氨一体化项目的中央预算内投资补助项目</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90,640,000.00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90,640,000.00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国家发展改革委关于下达支持创新创业创造专项投资计划</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190,640,000.00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190,640,000.00</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50" w:name="_Toc989239"/>
      <w:r>
        <w:rPr>
          <w:rFonts w:ascii="宋体" w:hAnsi="宋体" w:eastAsia="宋体" w:cs="宋体"/>
          <w:b/>
          <w:bCs/>
          <w:sz w:val="21"/>
          <w:szCs w:val="21"/>
        </w:rPr>
        <w:t>49、长期应付职工薪酬</w:t>
      </w:r>
      <w:bookmarkEnd w:id="350"/>
    </w:p>
    <w:p>
      <w:pPr>
        <w:keepNext/>
        <w:keepLines/>
        <w:spacing w:before="300" w:after="300" w:line="280" w:lineRule="exact"/>
        <w:jc w:val="left"/>
        <w:outlineLvl w:val="3"/>
        <w:rPr>
          <w:rFonts w:ascii="宋体" w:hAnsi="宋体" w:eastAsia="宋体" w:cs="宋体"/>
          <w:b/>
          <w:bCs/>
          <w:sz w:val="18"/>
          <w:szCs w:val="18"/>
        </w:rPr>
      </w:pPr>
      <w:bookmarkStart w:id="351" w:name="_Toc989240"/>
      <w:r>
        <w:rPr>
          <w:rFonts w:ascii="宋体" w:hAnsi="宋体" w:eastAsia="宋体" w:cs="宋体"/>
          <w:b/>
          <w:bCs/>
          <w:sz w:val="18"/>
          <w:szCs w:val="18"/>
        </w:rPr>
        <w:t>（1） 长期应付职工薪酬表</w:t>
      </w:r>
      <w:bookmarkEnd w:id="35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三、其他长期福利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1,795,648.85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1,795,648.85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1,795,648.85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1,795,648.85</w:t>
            </w:r>
          </w:p>
        </w:tc>
      </w:tr>
    </w:tbl>
    <w:p>
      <w:pPr>
        <w:keepNext/>
        <w:keepLines/>
        <w:spacing w:before="300" w:after="300" w:line="280" w:lineRule="exact"/>
        <w:jc w:val="left"/>
        <w:outlineLvl w:val="3"/>
        <w:rPr>
          <w:rFonts w:ascii="宋体" w:hAnsi="宋体" w:eastAsia="宋体" w:cs="宋体"/>
          <w:b/>
          <w:bCs/>
          <w:sz w:val="18"/>
          <w:szCs w:val="18"/>
        </w:rPr>
      </w:pPr>
      <w:bookmarkStart w:id="352" w:name="_Toc989241"/>
      <w:r>
        <w:rPr>
          <w:rFonts w:ascii="宋体" w:hAnsi="宋体" w:eastAsia="宋体" w:cs="宋体"/>
          <w:b/>
          <w:bCs/>
          <w:sz w:val="18"/>
          <w:szCs w:val="18"/>
        </w:rPr>
        <w:t>（2） 设定受益计划变动情况</w:t>
      </w:r>
      <w:bookmarkEnd w:id="352"/>
    </w:p>
    <w:p>
      <w:pPr>
        <w:spacing w:before="120" w:after="120" w:line="240" w:lineRule="exact"/>
        <w:jc w:val="left"/>
        <w:rPr>
          <w:rFonts w:ascii="宋体" w:hAnsi="宋体" w:eastAsia="宋体" w:cs="宋体"/>
          <w:sz w:val="18"/>
          <w:szCs w:val="18"/>
        </w:rPr>
      </w:pPr>
      <w:r>
        <w:rPr>
          <w:rFonts w:ascii="宋体" w:hAnsi="宋体" w:eastAsia="宋体" w:cs="宋体"/>
          <w:sz w:val="18"/>
          <w:szCs w:val="18"/>
        </w:rPr>
        <w:t>设定受益计划义务现值：</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计划资产：</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设定受益计划净负债（净资产）</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设定受益计划的内容及与之相关风险、对公司未来现金流量、时间和不确定性的影响说明：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设定受益计划重大精算假设及敏感性分析结果说明：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53" w:name="_Toc989242"/>
      <w:r>
        <w:rPr>
          <w:rFonts w:ascii="宋体" w:hAnsi="宋体" w:eastAsia="宋体" w:cs="宋体"/>
          <w:b/>
          <w:bCs/>
          <w:sz w:val="21"/>
          <w:szCs w:val="21"/>
        </w:rPr>
        <w:t>50、预计负债</w:t>
      </w:r>
      <w:bookmarkEnd w:id="35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形成原因</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其他说明，包括重要预计负债的相关重要假设、估计说明：</w:t>
      </w:r>
    </w:p>
    <w:p>
      <w:pPr>
        <w:keepNext/>
        <w:keepLines/>
        <w:spacing w:before="300" w:after="300" w:line="280" w:lineRule="exact"/>
        <w:jc w:val="left"/>
        <w:outlineLvl w:val="2"/>
        <w:rPr>
          <w:rFonts w:ascii="宋体" w:hAnsi="宋体" w:eastAsia="宋体" w:cs="宋体"/>
          <w:b/>
          <w:bCs/>
          <w:sz w:val="21"/>
          <w:szCs w:val="21"/>
        </w:rPr>
      </w:pPr>
      <w:bookmarkStart w:id="354" w:name="_Toc989243"/>
      <w:r>
        <w:rPr>
          <w:rFonts w:ascii="宋体" w:hAnsi="宋体" w:eastAsia="宋体" w:cs="宋体"/>
          <w:b/>
          <w:bCs/>
          <w:sz w:val="21"/>
          <w:szCs w:val="21"/>
        </w:rPr>
        <w:t>51、递延收益</w:t>
      </w:r>
      <w:bookmarkEnd w:id="35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形成原因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政府补助</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45,350,223.09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7,024,000.00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1,887,774.14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50,486,448.95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因公司节能减排、超低排放等项目政府发放的专项资金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管网建设费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12,973,976.29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1,345,252.09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11,628,724.20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供热工程管网建设补贴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58,324,199.38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7,024,000.00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3,233,026.23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62,115,173.15</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pStyle w:val="5"/>
        <w:keepNext w:val="0"/>
        <w:keepLines w:val="0"/>
        <w:widowControl/>
        <w:suppressLineNumbers w:val="0"/>
        <w:spacing w:before="100" w:beforeAutospacing="0" w:after="100" w:afterAutospacing="0" w:line="240" w:lineRule="atLeast"/>
        <w:ind w:left="0" w:right="0"/>
        <w:jc w:val="left"/>
        <w:rPr>
          <w:rFonts w:hint="default" w:ascii="Times New Roman" w:hAnsi="Times New Roman" w:cs="Times New Roman"/>
          <w:sz w:val="21"/>
          <w:szCs w:val="21"/>
        </w:rPr>
      </w:pPr>
      <w:r>
        <w:rPr>
          <w:rFonts w:hint="eastAsia" w:ascii="宋体" w:hAnsi="宋体" w:eastAsia="宋体" w:cs="宋体"/>
          <w:sz w:val="18"/>
          <w:szCs w:val="18"/>
        </w:rPr>
        <w:t>涉及政府补助的项目：</w:t>
      </w:r>
    </w:p>
    <w:p>
      <w:pPr>
        <w:pStyle w:val="5"/>
        <w:keepNext w:val="0"/>
        <w:keepLines w:val="0"/>
        <w:widowControl/>
        <w:suppressLineNumbers w:val="0"/>
        <w:spacing w:before="120" w:beforeAutospacing="0" w:after="12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单位：元</w:t>
      </w:r>
    </w:p>
    <w:tbl>
      <w:tblPr>
        <w:tblStyle w:val="6"/>
        <w:tblW w:w="96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45"/>
        <w:gridCol w:w="1476"/>
        <w:gridCol w:w="1476"/>
        <w:gridCol w:w="698"/>
        <w:gridCol w:w="1116"/>
        <w:gridCol w:w="1046"/>
        <w:gridCol w:w="698"/>
        <w:gridCol w:w="1386"/>
        <w:gridCol w:w="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 w:hRule="atLeast"/>
        </w:trPr>
        <w:tc>
          <w:tcPr>
            <w:tcW w:w="1045" w:type="dxa"/>
            <w:tcBorders>
              <w:top w:val="single" w:color="auto" w:sz="8" w:space="0"/>
              <w:left w:val="single" w:color="auto" w:sz="8" w:space="0"/>
              <w:bottom w:val="single" w:color="auto" w:sz="8" w:space="0"/>
              <w:right w:val="single" w:color="auto" w:sz="8" w:space="0"/>
            </w:tcBorders>
            <w:shd w:val="clear" w:color="auto" w:fill="D3D3D3"/>
            <w:tcMar>
              <w:top w:w="0" w:type="dxa"/>
              <w:left w:w="108" w:type="dxa"/>
              <w:bottom w:w="0" w:type="dxa"/>
              <w:right w:w="108" w:type="dxa"/>
            </w:tcMar>
            <w:vAlign w:val="center"/>
          </w:tcPr>
          <w:p>
            <w:pPr>
              <w:pStyle w:val="5"/>
              <w:keepNext w:val="0"/>
              <w:keepLines w:val="0"/>
              <w:widowControl/>
              <w:suppressLineNumbers w:val="0"/>
              <w:spacing w:before="40" w:beforeAutospacing="0" w:after="4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负债项目</w:t>
            </w:r>
          </w:p>
        </w:tc>
        <w:tc>
          <w:tcPr>
            <w:tcW w:w="1476" w:type="dxa"/>
            <w:tcBorders>
              <w:top w:val="single" w:color="auto" w:sz="8" w:space="0"/>
              <w:left w:val="nil"/>
              <w:bottom w:val="single" w:color="auto" w:sz="8" w:space="0"/>
              <w:right w:val="single" w:color="auto" w:sz="8" w:space="0"/>
            </w:tcBorders>
            <w:shd w:val="clear" w:color="auto" w:fill="D3D3D3"/>
            <w:tcMar>
              <w:top w:w="0" w:type="dxa"/>
              <w:left w:w="108" w:type="dxa"/>
              <w:bottom w:w="0" w:type="dxa"/>
              <w:right w:w="108" w:type="dxa"/>
            </w:tcMar>
            <w:vAlign w:val="center"/>
          </w:tcPr>
          <w:p>
            <w:pPr>
              <w:pStyle w:val="5"/>
              <w:keepNext w:val="0"/>
              <w:keepLines w:val="0"/>
              <w:widowControl/>
              <w:suppressLineNumbers w:val="0"/>
              <w:spacing w:before="40" w:beforeAutospacing="0" w:after="4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期初余额</w:t>
            </w:r>
          </w:p>
        </w:tc>
        <w:tc>
          <w:tcPr>
            <w:tcW w:w="1476" w:type="dxa"/>
            <w:tcBorders>
              <w:top w:val="single" w:color="auto" w:sz="8" w:space="0"/>
              <w:left w:val="nil"/>
              <w:bottom w:val="single" w:color="auto" w:sz="8" w:space="0"/>
              <w:right w:val="single" w:color="auto" w:sz="8" w:space="0"/>
            </w:tcBorders>
            <w:shd w:val="clear" w:color="auto" w:fill="D3D3D3"/>
            <w:tcMar>
              <w:top w:w="0" w:type="dxa"/>
              <w:left w:w="108" w:type="dxa"/>
              <w:bottom w:w="0" w:type="dxa"/>
              <w:right w:w="108" w:type="dxa"/>
            </w:tcMar>
            <w:vAlign w:val="center"/>
          </w:tcPr>
          <w:p>
            <w:pPr>
              <w:pStyle w:val="5"/>
              <w:keepNext w:val="0"/>
              <w:keepLines w:val="0"/>
              <w:widowControl/>
              <w:suppressLineNumbers w:val="0"/>
              <w:spacing w:before="40" w:beforeAutospacing="0" w:after="4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本期新增补助金额</w:t>
            </w:r>
          </w:p>
        </w:tc>
        <w:tc>
          <w:tcPr>
            <w:tcW w:w="698" w:type="dxa"/>
            <w:tcBorders>
              <w:top w:val="single" w:color="auto" w:sz="8" w:space="0"/>
              <w:left w:val="nil"/>
              <w:bottom w:val="single" w:color="auto" w:sz="8" w:space="0"/>
              <w:right w:val="single" w:color="auto" w:sz="8" w:space="0"/>
            </w:tcBorders>
            <w:shd w:val="clear" w:color="auto" w:fill="D3D3D3"/>
            <w:tcMar>
              <w:top w:w="0" w:type="dxa"/>
              <w:left w:w="108" w:type="dxa"/>
              <w:bottom w:w="0" w:type="dxa"/>
              <w:right w:w="108" w:type="dxa"/>
            </w:tcMar>
            <w:vAlign w:val="center"/>
          </w:tcPr>
          <w:p>
            <w:pPr>
              <w:pStyle w:val="5"/>
              <w:keepNext w:val="0"/>
              <w:keepLines w:val="0"/>
              <w:widowControl/>
              <w:suppressLineNumbers w:val="0"/>
              <w:spacing w:before="40" w:beforeAutospacing="0" w:after="4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本期计入营业外收入金额</w:t>
            </w:r>
          </w:p>
        </w:tc>
        <w:tc>
          <w:tcPr>
            <w:tcW w:w="1116" w:type="dxa"/>
            <w:tcBorders>
              <w:top w:val="single" w:color="auto" w:sz="8" w:space="0"/>
              <w:left w:val="nil"/>
              <w:bottom w:val="single" w:color="auto" w:sz="8" w:space="0"/>
              <w:right w:val="single" w:color="auto" w:sz="8" w:space="0"/>
            </w:tcBorders>
            <w:shd w:val="clear" w:color="auto" w:fill="D3D3D3"/>
            <w:tcMar>
              <w:top w:w="0" w:type="dxa"/>
              <w:left w:w="108" w:type="dxa"/>
              <w:bottom w:w="0" w:type="dxa"/>
              <w:right w:w="108" w:type="dxa"/>
            </w:tcMar>
            <w:vAlign w:val="center"/>
          </w:tcPr>
          <w:p>
            <w:pPr>
              <w:pStyle w:val="5"/>
              <w:keepNext w:val="0"/>
              <w:keepLines w:val="0"/>
              <w:widowControl/>
              <w:suppressLineNumbers w:val="0"/>
              <w:spacing w:before="40" w:beforeAutospacing="0" w:after="4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本期计入其他收益金额</w:t>
            </w:r>
          </w:p>
        </w:tc>
        <w:tc>
          <w:tcPr>
            <w:tcW w:w="1046" w:type="dxa"/>
            <w:tcBorders>
              <w:top w:val="single" w:color="auto" w:sz="8" w:space="0"/>
              <w:left w:val="nil"/>
              <w:bottom w:val="single" w:color="auto" w:sz="8" w:space="0"/>
              <w:right w:val="single" w:color="auto" w:sz="8" w:space="0"/>
            </w:tcBorders>
            <w:shd w:val="clear" w:color="auto" w:fill="D3D3D3"/>
            <w:tcMar>
              <w:top w:w="0" w:type="dxa"/>
              <w:left w:w="108" w:type="dxa"/>
              <w:bottom w:w="0" w:type="dxa"/>
              <w:right w:w="108" w:type="dxa"/>
            </w:tcMar>
            <w:vAlign w:val="center"/>
          </w:tcPr>
          <w:p>
            <w:pPr>
              <w:pStyle w:val="5"/>
              <w:keepNext w:val="0"/>
              <w:keepLines w:val="0"/>
              <w:widowControl/>
              <w:suppressLineNumbers w:val="0"/>
              <w:spacing w:before="40" w:beforeAutospacing="0" w:after="4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本期冲减成本费用金额</w:t>
            </w:r>
          </w:p>
        </w:tc>
        <w:tc>
          <w:tcPr>
            <w:tcW w:w="698" w:type="dxa"/>
            <w:tcBorders>
              <w:top w:val="single" w:color="auto" w:sz="8" w:space="0"/>
              <w:left w:val="nil"/>
              <w:bottom w:val="single" w:color="auto" w:sz="8" w:space="0"/>
              <w:right w:val="single" w:color="auto" w:sz="8" w:space="0"/>
            </w:tcBorders>
            <w:shd w:val="clear" w:color="auto" w:fill="D3D3D3"/>
            <w:tcMar>
              <w:top w:w="0" w:type="dxa"/>
              <w:left w:w="108" w:type="dxa"/>
              <w:bottom w:w="0" w:type="dxa"/>
              <w:right w:w="108" w:type="dxa"/>
            </w:tcMar>
            <w:vAlign w:val="center"/>
          </w:tcPr>
          <w:p>
            <w:pPr>
              <w:pStyle w:val="5"/>
              <w:keepNext w:val="0"/>
              <w:keepLines w:val="0"/>
              <w:widowControl/>
              <w:suppressLineNumbers w:val="0"/>
              <w:spacing w:before="40" w:beforeAutospacing="0" w:after="4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其他变动</w:t>
            </w:r>
          </w:p>
        </w:tc>
        <w:tc>
          <w:tcPr>
            <w:tcW w:w="1386" w:type="dxa"/>
            <w:tcBorders>
              <w:top w:val="single" w:color="auto" w:sz="8" w:space="0"/>
              <w:left w:val="nil"/>
              <w:bottom w:val="single" w:color="auto" w:sz="8" w:space="0"/>
              <w:right w:val="single" w:color="auto" w:sz="8" w:space="0"/>
            </w:tcBorders>
            <w:shd w:val="clear" w:color="auto" w:fill="D3D3D3"/>
            <w:tcMar>
              <w:top w:w="0" w:type="dxa"/>
              <w:left w:w="108" w:type="dxa"/>
              <w:bottom w:w="0" w:type="dxa"/>
              <w:right w:w="108" w:type="dxa"/>
            </w:tcMar>
            <w:vAlign w:val="center"/>
          </w:tcPr>
          <w:p>
            <w:pPr>
              <w:pStyle w:val="5"/>
              <w:keepNext w:val="0"/>
              <w:keepLines w:val="0"/>
              <w:widowControl/>
              <w:suppressLineNumbers w:val="0"/>
              <w:spacing w:before="40" w:beforeAutospacing="0" w:after="4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期末余额</w:t>
            </w:r>
          </w:p>
        </w:tc>
        <w:tc>
          <w:tcPr>
            <w:tcW w:w="698" w:type="dxa"/>
            <w:tcBorders>
              <w:top w:val="single" w:color="auto" w:sz="8" w:space="0"/>
              <w:left w:val="nil"/>
              <w:bottom w:val="single" w:color="auto" w:sz="8" w:space="0"/>
              <w:right w:val="single" w:color="auto" w:sz="8" w:space="0"/>
            </w:tcBorders>
            <w:shd w:val="clear" w:color="auto" w:fill="D3D3D3"/>
            <w:tcMar>
              <w:top w:w="0" w:type="dxa"/>
              <w:left w:w="108" w:type="dxa"/>
              <w:bottom w:w="0" w:type="dxa"/>
              <w:right w:w="108" w:type="dxa"/>
            </w:tcMar>
            <w:vAlign w:val="center"/>
          </w:tcPr>
          <w:p>
            <w:pPr>
              <w:pStyle w:val="5"/>
              <w:keepNext w:val="0"/>
              <w:keepLines w:val="0"/>
              <w:widowControl/>
              <w:suppressLineNumbers w:val="0"/>
              <w:spacing w:before="40" w:beforeAutospacing="0" w:after="4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sz w:val="18"/>
                <w:szCs w:val="18"/>
              </w:rPr>
              <w:t>与资产相关/与收益相关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 w:hRule="atLeast"/>
        </w:trPr>
        <w:tc>
          <w:tcPr>
            <w:tcW w:w="10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吉林中电投新能源政府补助能源发展专项资金</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440,000.00</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1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20,000.00</w:t>
            </w:r>
          </w:p>
        </w:tc>
        <w:tc>
          <w:tcPr>
            <w:tcW w:w="10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3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420,000.00</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宋体" w:hAnsi="宋体" w:eastAsia="宋体" w:cs="宋体"/>
                <w:sz w:val="18"/>
                <w:szCs w:val="18"/>
              </w:rPr>
              <w:t>与资产相关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 w:hRule="atLeast"/>
        </w:trPr>
        <w:tc>
          <w:tcPr>
            <w:tcW w:w="10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吉林省吉电能源有限公司电锅炉供热补贴</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1,205,532.28</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1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43,092.24</w:t>
            </w:r>
          </w:p>
        </w:tc>
        <w:tc>
          <w:tcPr>
            <w:tcW w:w="10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3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1,162,440.04</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宋体" w:hAnsi="宋体" w:eastAsia="宋体" w:cs="宋体"/>
                <w:sz w:val="18"/>
                <w:szCs w:val="18"/>
              </w:rPr>
              <w:t>与资产相关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 w:hRule="atLeast"/>
        </w:trPr>
        <w:tc>
          <w:tcPr>
            <w:tcW w:w="10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长春市月星家居公交车充电站建设项目</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450,000.00</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1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56,250.00</w:t>
            </w:r>
          </w:p>
        </w:tc>
        <w:tc>
          <w:tcPr>
            <w:tcW w:w="10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3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393,750.00</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宋体" w:hAnsi="宋体" w:eastAsia="宋体" w:cs="宋体"/>
                <w:sz w:val="18"/>
                <w:szCs w:val="18"/>
              </w:rPr>
              <w:t>与资产相关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 w:hRule="atLeast"/>
        </w:trPr>
        <w:tc>
          <w:tcPr>
            <w:tcW w:w="10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阜新农光互补扶持奖励</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23,016,600.00</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1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639,349.98</w:t>
            </w:r>
          </w:p>
        </w:tc>
        <w:tc>
          <w:tcPr>
            <w:tcW w:w="10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3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22,377,250.02</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宋体" w:hAnsi="宋体" w:eastAsia="宋体" w:cs="宋体"/>
                <w:sz w:val="18"/>
                <w:szCs w:val="18"/>
              </w:rPr>
              <w:t>与资产相关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 w:hRule="atLeast"/>
        </w:trPr>
        <w:tc>
          <w:tcPr>
            <w:tcW w:w="10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江西新能源老爷庙项目财政贴息</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1,167,790.00</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1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sz w:val="18"/>
                <w:szCs w:val="18"/>
              </w:rPr>
              <w:t> </w:t>
            </w:r>
          </w:p>
        </w:tc>
        <w:tc>
          <w:tcPr>
            <w:tcW w:w="10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i w:val="0"/>
                <w:color w:val="000000"/>
                <w:sz w:val="18"/>
                <w:szCs w:val="18"/>
              </w:rPr>
              <w:t>71,502.00</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3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1,096,288.00</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宋体" w:hAnsi="宋体" w:eastAsia="宋体" w:cs="宋体"/>
                <w:sz w:val="18"/>
                <w:szCs w:val="18"/>
              </w:rPr>
              <w:t>与资产相关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 w:hRule="atLeast"/>
        </w:trPr>
        <w:tc>
          <w:tcPr>
            <w:tcW w:w="10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莲花山国色天莲综合智慧能源项目</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1,104,628.75</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1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32,489.10</w:t>
            </w:r>
          </w:p>
        </w:tc>
        <w:tc>
          <w:tcPr>
            <w:tcW w:w="10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3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1,072,139.65</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宋体" w:hAnsi="宋体" w:eastAsia="宋体" w:cs="宋体"/>
                <w:sz w:val="18"/>
                <w:szCs w:val="18"/>
              </w:rPr>
              <w:t>与资产相关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 w:hRule="atLeast"/>
        </w:trPr>
        <w:tc>
          <w:tcPr>
            <w:tcW w:w="10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吉电迅坦充电站基础设施建设省级财政补贴资金</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18"/>
                <w:szCs w:val="18"/>
              </w:rPr>
              <w:t> </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 xml:space="preserve"> 3,024,000.00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1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248547.96</w:t>
            </w:r>
          </w:p>
        </w:tc>
        <w:tc>
          <w:tcPr>
            <w:tcW w:w="10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3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2,775,452.04</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宋体" w:hAnsi="宋体" w:eastAsia="宋体" w:cs="宋体"/>
                <w:sz w:val="18"/>
                <w:szCs w:val="18"/>
              </w:rPr>
              <w:t>与资产相关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 w:hRule="atLeast"/>
        </w:trPr>
        <w:tc>
          <w:tcPr>
            <w:tcW w:w="10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吉电宏日冬季清洁供暖专项资金</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 xml:space="preserve"> 3,000,000.00 </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1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18"/>
                <w:szCs w:val="18"/>
              </w:rPr>
              <w:t> </w:t>
            </w:r>
          </w:p>
        </w:tc>
        <w:tc>
          <w:tcPr>
            <w:tcW w:w="10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3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3,000,000.00</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宋体" w:hAnsi="宋体" w:eastAsia="宋体" w:cs="宋体"/>
                <w:sz w:val="18"/>
                <w:szCs w:val="18"/>
              </w:rPr>
              <w:t>与资产相关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 w:hRule="atLeast"/>
        </w:trPr>
        <w:tc>
          <w:tcPr>
            <w:tcW w:w="10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吉电凯达南翼生物质清洁供暖项目</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18"/>
                <w:szCs w:val="18"/>
              </w:rPr>
              <w:t> </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 xml:space="preserve"> 4,000,000.00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1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105,726.90</w:t>
            </w:r>
          </w:p>
        </w:tc>
        <w:tc>
          <w:tcPr>
            <w:tcW w:w="10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3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3,894,273.10</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宋体" w:hAnsi="宋体" w:eastAsia="宋体" w:cs="宋体"/>
                <w:sz w:val="18"/>
                <w:szCs w:val="18"/>
              </w:rPr>
              <w:t>与资产相关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 w:hRule="atLeast"/>
        </w:trPr>
        <w:tc>
          <w:tcPr>
            <w:tcW w:w="10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白城发电公司1、2号机组封堵脱硫烟气旁路改造工程</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370,000.10</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1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19,999.98</w:t>
            </w:r>
          </w:p>
        </w:tc>
        <w:tc>
          <w:tcPr>
            <w:tcW w:w="10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3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350,000.12</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宋体" w:hAnsi="宋体" w:eastAsia="宋体" w:cs="宋体"/>
                <w:sz w:val="18"/>
                <w:szCs w:val="18"/>
              </w:rPr>
              <w:t>与资产相关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10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白城发电公司脱硫补贴追加</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347,768.05</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1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24,999.96</w:t>
            </w:r>
          </w:p>
        </w:tc>
        <w:tc>
          <w:tcPr>
            <w:tcW w:w="10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3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322,768.09</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宋体" w:hAnsi="宋体" w:eastAsia="宋体" w:cs="宋体"/>
                <w:sz w:val="18"/>
                <w:szCs w:val="18"/>
              </w:rPr>
              <w:t>与资产相关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 w:hRule="atLeast"/>
        </w:trPr>
        <w:tc>
          <w:tcPr>
            <w:tcW w:w="10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白城发电公司1号机组烟气脱硝改造</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1,399,999.90</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1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70,000.02</w:t>
            </w:r>
          </w:p>
        </w:tc>
        <w:tc>
          <w:tcPr>
            <w:tcW w:w="10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3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1,329,999.88</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宋体" w:hAnsi="宋体" w:eastAsia="宋体" w:cs="宋体"/>
                <w:sz w:val="18"/>
                <w:szCs w:val="18"/>
              </w:rPr>
              <w:t>与资产相关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 w:hRule="atLeast"/>
        </w:trPr>
        <w:tc>
          <w:tcPr>
            <w:tcW w:w="10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白城发电公司1号机组烟气脱硝改造（吉能科技[2015]74号）</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423,333.43</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1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19,999.98</w:t>
            </w:r>
          </w:p>
        </w:tc>
        <w:tc>
          <w:tcPr>
            <w:tcW w:w="10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3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403,333.45</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宋体" w:hAnsi="宋体" w:eastAsia="宋体" w:cs="宋体"/>
                <w:sz w:val="18"/>
                <w:szCs w:val="18"/>
              </w:rPr>
              <w:t>与资产相关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 w:hRule="atLeast"/>
        </w:trPr>
        <w:tc>
          <w:tcPr>
            <w:tcW w:w="10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白城发电公司2号机组新建烟气脱硝设施项目（白财建指[2014]204号）</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793,750.00</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1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37,500.00</w:t>
            </w:r>
          </w:p>
        </w:tc>
        <w:tc>
          <w:tcPr>
            <w:tcW w:w="10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3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756,250.00</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宋体" w:hAnsi="宋体" w:eastAsia="宋体" w:cs="宋体"/>
                <w:sz w:val="18"/>
                <w:szCs w:val="18"/>
              </w:rPr>
              <w:t>与资产相关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 w:hRule="atLeast"/>
        </w:trPr>
        <w:tc>
          <w:tcPr>
            <w:tcW w:w="10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白城发电公司二氧化硫、氮氧化物、烟尘超低排放</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3,229,166.48</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1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125,000.04</w:t>
            </w:r>
          </w:p>
        </w:tc>
        <w:tc>
          <w:tcPr>
            <w:tcW w:w="10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3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3,104,166.44</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宋体" w:hAnsi="宋体" w:eastAsia="宋体" w:cs="宋体"/>
                <w:sz w:val="18"/>
                <w:szCs w:val="18"/>
              </w:rPr>
              <w:t>与资产相关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 w:hRule="atLeast"/>
        </w:trPr>
        <w:tc>
          <w:tcPr>
            <w:tcW w:w="10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白城发电公司2台机组烟尘治理提标升级改造</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1,543,750.00</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1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75,000.00</w:t>
            </w:r>
          </w:p>
        </w:tc>
        <w:tc>
          <w:tcPr>
            <w:tcW w:w="10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3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1,468,750.00</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宋体" w:hAnsi="宋体" w:eastAsia="宋体" w:cs="宋体"/>
                <w:sz w:val="18"/>
                <w:szCs w:val="18"/>
              </w:rPr>
              <w:t>与资产相关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 w:hRule="atLeast"/>
        </w:trPr>
        <w:tc>
          <w:tcPr>
            <w:tcW w:w="10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白城发电公司污染减排和大气污染防治</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3,292,900.10</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1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126649.98</w:t>
            </w:r>
          </w:p>
        </w:tc>
        <w:tc>
          <w:tcPr>
            <w:tcW w:w="10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3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3,166,250.12</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宋体" w:hAnsi="宋体" w:eastAsia="宋体" w:cs="宋体"/>
                <w:sz w:val="18"/>
                <w:szCs w:val="18"/>
              </w:rPr>
              <w:t>与资产相关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 w:hRule="atLeast"/>
        </w:trPr>
        <w:tc>
          <w:tcPr>
            <w:tcW w:w="10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松花江一热4号机脱硝设施环保资金</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320,000.00</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1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19,998.00</w:t>
            </w:r>
          </w:p>
        </w:tc>
        <w:tc>
          <w:tcPr>
            <w:tcW w:w="10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3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300,002.00</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宋体" w:hAnsi="宋体" w:eastAsia="宋体" w:cs="宋体"/>
                <w:sz w:val="18"/>
                <w:szCs w:val="18"/>
              </w:rPr>
              <w:t>与资产相关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 w:hRule="atLeast"/>
        </w:trPr>
        <w:tc>
          <w:tcPr>
            <w:tcW w:w="10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松花江一热4号机旁路档板环保资金</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200,000.00</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1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12,498.00</w:t>
            </w:r>
          </w:p>
        </w:tc>
        <w:tc>
          <w:tcPr>
            <w:tcW w:w="10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3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187,502.00</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宋体" w:hAnsi="宋体" w:eastAsia="宋体" w:cs="宋体"/>
                <w:sz w:val="18"/>
                <w:szCs w:val="18"/>
              </w:rPr>
              <w:t>与资产相关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 w:hRule="atLeast"/>
        </w:trPr>
        <w:tc>
          <w:tcPr>
            <w:tcW w:w="10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松花江一热4号机除尘提效改造</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550,000.00</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1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25,002.00</w:t>
            </w:r>
          </w:p>
        </w:tc>
        <w:tc>
          <w:tcPr>
            <w:tcW w:w="10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3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524,998.00</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宋体" w:hAnsi="宋体" w:eastAsia="宋体" w:cs="宋体"/>
                <w:sz w:val="18"/>
                <w:szCs w:val="18"/>
              </w:rPr>
              <w:t>与资产相关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 w:hRule="atLeast"/>
        </w:trPr>
        <w:tc>
          <w:tcPr>
            <w:tcW w:w="10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松花江一热4号机超低排放改造项目污染减排专项资金</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1,800,000.00</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1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75,000.00</w:t>
            </w:r>
          </w:p>
        </w:tc>
        <w:tc>
          <w:tcPr>
            <w:tcW w:w="10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3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1,725,000.00</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宋体" w:hAnsi="宋体" w:eastAsia="宋体" w:cs="宋体"/>
                <w:sz w:val="18"/>
                <w:szCs w:val="18"/>
              </w:rPr>
              <w:t>与资产相关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 w:hRule="atLeast"/>
        </w:trPr>
        <w:tc>
          <w:tcPr>
            <w:tcW w:w="10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松花江热电1-3号炉脱硫旁路挡板改造</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200,004.00</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1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16,668.00</w:t>
            </w:r>
          </w:p>
        </w:tc>
        <w:tc>
          <w:tcPr>
            <w:tcW w:w="10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3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183,336.00</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宋体" w:hAnsi="宋体" w:eastAsia="宋体" w:cs="宋体"/>
                <w:sz w:val="18"/>
                <w:szCs w:val="18"/>
              </w:rPr>
              <w:t>与资产相关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 w:hRule="atLeast"/>
        </w:trPr>
        <w:tc>
          <w:tcPr>
            <w:tcW w:w="10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松花江热电1-3号炉除尘设备改造</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495,000.00</w:t>
            </w:r>
          </w:p>
        </w:tc>
        <w:tc>
          <w:tcPr>
            <w:tcW w:w="14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1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22,500.00</w:t>
            </w:r>
          </w:p>
        </w:tc>
        <w:tc>
          <w:tcPr>
            <w:tcW w:w="10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1"/>
                <w:szCs w:val="21"/>
              </w:rPr>
            </w:pPr>
            <w:r>
              <w:rPr>
                <w:rFonts w:hint="eastAsia" w:ascii="宋体" w:hAnsi="宋体" w:eastAsia="宋体" w:cs="宋体"/>
                <w:sz w:val="18"/>
                <w:szCs w:val="18"/>
              </w:rPr>
              <w:t> </w:t>
            </w:r>
          </w:p>
        </w:tc>
        <w:tc>
          <w:tcPr>
            <w:tcW w:w="13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472,500.00</w:t>
            </w:r>
          </w:p>
        </w:tc>
        <w:tc>
          <w:tcPr>
            <w:tcW w:w="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宋体" w:hAnsi="宋体" w:eastAsia="宋体" w:cs="宋体"/>
                <w:sz w:val="18"/>
                <w:szCs w:val="18"/>
              </w:rPr>
              <w:t>与资产相关</w:t>
            </w:r>
          </w:p>
        </w:tc>
      </w:tr>
    </w:tbl>
    <w:p>
      <w:pPr>
        <w:keepNext/>
        <w:keepLines/>
        <w:spacing w:before="300" w:after="300" w:line="280" w:lineRule="exact"/>
        <w:jc w:val="left"/>
        <w:outlineLvl w:val="2"/>
        <w:rPr>
          <w:rFonts w:ascii="宋体" w:hAnsi="宋体" w:eastAsia="宋体" w:cs="宋体"/>
          <w:b/>
          <w:bCs/>
          <w:sz w:val="21"/>
          <w:szCs w:val="21"/>
        </w:rPr>
      </w:pPr>
      <w:bookmarkStart w:id="355" w:name="_Toc989244"/>
      <w:r>
        <w:rPr>
          <w:rFonts w:ascii="宋体" w:hAnsi="宋体" w:eastAsia="宋体" w:cs="宋体"/>
          <w:b/>
          <w:bCs/>
          <w:sz w:val="21"/>
          <w:szCs w:val="21"/>
        </w:rPr>
        <w:t>52、其他非流动负债</w:t>
      </w:r>
      <w:bookmarkEnd w:id="35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56" w:name="_Toc989245"/>
      <w:r>
        <w:rPr>
          <w:rFonts w:ascii="宋体" w:hAnsi="宋体" w:eastAsia="宋体" w:cs="宋体"/>
          <w:b/>
          <w:bCs/>
          <w:sz w:val="21"/>
          <w:szCs w:val="21"/>
        </w:rPr>
        <w:t>53、股本</w:t>
      </w:r>
      <w:bookmarkEnd w:id="35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5"/>
        <w:gridCol w:w="1205"/>
        <w:gridCol w:w="1205"/>
        <w:gridCol w:w="1205"/>
        <w:gridCol w:w="1205"/>
        <w:gridCol w:w="1205"/>
        <w:gridCol w:w="1205"/>
        <w:gridCol w:w="12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6025"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本次变动增减（+、-）</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trHeight w:val="240" w:hRule="atLeast"/>
        </w:trPr>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发行新股</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送股</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公积金转股</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小计</w:t>
            </w: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股份总数</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57" w:name="_Toc989246"/>
      <w:r>
        <w:rPr>
          <w:rFonts w:ascii="宋体" w:hAnsi="宋体" w:eastAsia="宋体" w:cs="宋体"/>
          <w:b/>
          <w:bCs/>
          <w:sz w:val="21"/>
          <w:szCs w:val="21"/>
        </w:rPr>
        <w:t>54、其他权益工具</w:t>
      </w:r>
      <w:bookmarkEnd w:id="357"/>
    </w:p>
    <w:p>
      <w:pPr>
        <w:keepNext/>
        <w:keepLines/>
        <w:spacing w:before="300" w:after="300" w:line="280" w:lineRule="exact"/>
        <w:jc w:val="left"/>
        <w:outlineLvl w:val="3"/>
        <w:rPr>
          <w:rFonts w:ascii="宋体" w:hAnsi="宋体" w:eastAsia="宋体" w:cs="宋体"/>
          <w:b/>
          <w:bCs/>
          <w:sz w:val="18"/>
          <w:szCs w:val="18"/>
        </w:rPr>
      </w:pPr>
      <w:bookmarkStart w:id="358" w:name="_Toc989247"/>
      <w:r>
        <w:rPr>
          <w:rFonts w:ascii="宋体" w:hAnsi="宋体" w:eastAsia="宋体" w:cs="宋体"/>
          <w:b/>
          <w:bCs/>
          <w:sz w:val="18"/>
          <w:szCs w:val="18"/>
        </w:rPr>
        <w:t>（1） 期末发行在外的优先股、永续债等其他金融工具基本情况</w:t>
      </w:r>
      <w:bookmarkEnd w:id="358"/>
    </w:p>
    <w:p>
      <w:pPr>
        <w:keepNext/>
        <w:keepLines/>
        <w:spacing w:before="300" w:after="300" w:line="280" w:lineRule="exact"/>
        <w:jc w:val="left"/>
        <w:outlineLvl w:val="3"/>
        <w:rPr>
          <w:rFonts w:ascii="宋体" w:hAnsi="宋体" w:eastAsia="宋体" w:cs="宋体"/>
          <w:b/>
          <w:bCs/>
          <w:sz w:val="18"/>
          <w:szCs w:val="18"/>
        </w:rPr>
      </w:pPr>
      <w:bookmarkStart w:id="359" w:name="_Toc989248"/>
      <w:r>
        <w:rPr>
          <w:rFonts w:ascii="宋体" w:hAnsi="宋体" w:eastAsia="宋体" w:cs="宋体"/>
          <w:b/>
          <w:bCs/>
          <w:sz w:val="18"/>
          <w:szCs w:val="18"/>
        </w:rPr>
        <w:t>（2） 期末发行在外的优先股、永续债等金融工具变动情况表</w:t>
      </w:r>
      <w:bookmarkEnd w:id="35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发行在外的金融工具</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其他权益工具本期增减变动情况、变动原因说明，以及相关会计处理的依据：</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60" w:name="_Toc989249"/>
      <w:r>
        <w:rPr>
          <w:rFonts w:ascii="宋体" w:hAnsi="宋体" w:eastAsia="宋体" w:cs="宋体"/>
          <w:b/>
          <w:bCs/>
          <w:sz w:val="21"/>
          <w:szCs w:val="21"/>
        </w:rPr>
        <w:t>55、资本公积</w:t>
      </w:r>
      <w:bookmarkEnd w:id="36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资本溢价（股本溢价）</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6,001,785,596.99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6,001,792,458.99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其他资本公积</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1,036,124,737.72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1,036,117,875.72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7,037,910,334.71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7,037,910,334.71</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其他说明，包括本期增减变动情况、变动原因说明：</w:t>
      </w:r>
    </w:p>
    <w:p>
      <w:pPr>
        <w:keepNext/>
        <w:keepLines/>
        <w:spacing w:before="300" w:after="300" w:line="280" w:lineRule="exact"/>
        <w:jc w:val="left"/>
        <w:outlineLvl w:val="2"/>
        <w:rPr>
          <w:rFonts w:ascii="宋体" w:hAnsi="宋体" w:eastAsia="宋体" w:cs="宋体"/>
          <w:b/>
          <w:bCs/>
          <w:sz w:val="21"/>
          <w:szCs w:val="21"/>
        </w:rPr>
      </w:pPr>
      <w:bookmarkStart w:id="361" w:name="_Toc989250"/>
      <w:r>
        <w:rPr>
          <w:rFonts w:ascii="宋体" w:hAnsi="宋体" w:eastAsia="宋体" w:cs="宋体"/>
          <w:b/>
          <w:bCs/>
          <w:sz w:val="21"/>
          <w:szCs w:val="21"/>
        </w:rPr>
        <w:t>56、库存股</w:t>
      </w:r>
      <w:bookmarkEnd w:id="36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其他说明，包括本期增减变动情况、变动原因说明：</w:t>
      </w:r>
    </w:p>
    <w:p>
      <w:pPr>
        <w:keepNext/>
        <w:keepLines/>
        <w:spacing w:before="300" w:after="300" w:line="280" w:lineRule="exact"/>
        <w:jc w:val="left"/>
        <w:outlineLvl w:val="2"/>
        <w:rPr>
          <w:rFonts w:ascii="宋体" w:hAnsi="宋体" w:eastAsia="宋体" w:cs="宋体"/>
          <w:b/>
          <w:bCs/>
          <w:sz w:val="21"/>
          <w:szCs w:val="21"/>
        </w:rPr>
      </w:pPr>
      <w:bookmarkStart w:id="362" w:name="_Toc989251"/>
      <w:r>
        <w:rPr>
          <w:rFonts w:ascii="宋体" w:hAnsi="宋体" w:eastAsia="宋体" w:cs="宋体"/>
          <w:b/>
          <w:bCs/>
          <w:sz w:val="21"/>
          <w:szCs w:val="21"/>
        </w:rPr>
        <w:t>57、其他综合收益</w:t>
      </w:r>
      <w:bookmarkEnd w:id="36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6426" w:type="dxa"/>
            <w:gridSpan w:val="6"/>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本期所得税前发生额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减：前期计入其他综合收益当期转入损益</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减：前期计入其他综合收益当期转入留存收益</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减：所得税费用</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税后归属于母公司</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税后归属于少数股东</w:t>
            </w: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一、不能重分类进损益的其他综合收益</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6,516,414.58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6,516,414.58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其他权益工具投资公允价值变动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6,516,414.58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6,516,414.58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其他综合收益合计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6,516,414.58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6,516,414.58</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其他说明，包括对现金流量套期损益的有效部分转为被套期项目初始确认金额调整：</w:t>
      </w:r>
    </w:p>
    <w:p>
      <w:pPr>
        <w:keepNext/>
        <w:keepLines/>
        <w:spacing w:before="300" w:after="300" w:line="280" w:lineRule="exact"/>
        <w:jc w:val="left"/>
        <w:outlineLvl w:val="2"/>
        <w:rPr>
          <w:rFonts w:ascii="宋体" w:hAnsi="宋体" w:eastAsia="宋体" w:cs="宋体"/>
          <w:b/>
          <w:bCs/>
          <w:sz w:val="21"/>
          <w:szCs w:val="21"/>
        </w:rPr>
      </w:pPr>
      <w:bookmarkStart w:id="363" w:name="_Toc989252"/>
      <w:r>
        <w:rPr>
          <w:rFonts w:ascii="宋体" w:hAnsi="宋体" w:eastAsia="宋体" w:cs="宋体"/>
          <w:b/>
          <w:bCs/>
          <w:sz w:val="21"/>
          <w:szCs w:val="21"/>
        </w:rPr>
        <w:t>58、专项储备</w:t>
      </w:r>
      <w:bookmarkEnd w:id="36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安全生产费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23,095,372.82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85,946,126.46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37,674,605.35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71,366,893.93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23,095,372.82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85,946,126.46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37,674,605.35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71,366,893.93</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其他说明，包括本期增减变动情况、变动原因说明：</w:t>
      </w:r>
    </w:p>
    <w:p>
      <w:pPr>
        <w:keepNext/>
        <w:keepLines/>
        <w:spacing w:before="300" w:after="300" w:line="280" w:lineRule="exact"/>
        <w:jc w:val="left"/>
        <w:outlineLvl w:val="2"/>
        <w:rPr>
          <w:rFonts w:ascii="宋体" w:hAnsi="宋体" w:eastAsia="宋体" w:cs="宋体"/>
          <w:b/>
          <w:bCs/>
          <w:sz w:val="21"/>
          <w:szCs w:val="21"/>
        </w:rPr>
      </w:pPr>
      <w:bookmarkStart w:id="364" w:name="_Toc989253"/>
      <w:r>
        <w:rPr>
          <w:rFonts w:ascii="宋体" w:hAnsi="宋体" w:eastAsia="宋体" w:cs="宋体"/>
          <w:b/>
          <w:bCs/>
          <w:sz w:val="21"/>
          <w:szCs w:val="21"/>
        </w:rPr>
        <w:t>59、盈余公积</w:t>
      </w:r>
      <w:bookmarkEnd w:id="36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法定盈余公积</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104,632,743.32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104,632,743.32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104,632,743.32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104,632,743.32</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盈余公积说明，包括本期增减变动情况、变动原因说明：</w:t>
      </w:r>
    </w:p>
    <w:p>
      <w:pPr>
        <w:keepNext/>
        <w:keepLines/>
        <w:spacing w:before="300" w:after="300" w:line="280" w:lineRule="exact"/>
        <w:jc w:val="left"/>
        <w:outlineLvl w:val="2"/>
        <w:rPr>
          <w:rFonts w:ascii="宋体" w:hAnsi="宋体" w:eastAsia="宋体" w:cs="宋体"/>
          <w:b/>
          <w:bCs/>
          <w:sz w:val="21"/>
          <w:szCs w:val="21"/>
        </w:rPr>
      </w:pPr>
      <w:bookmarkStart w:id="365" w:name="_Toc989254"/>
      <w:r>
        <w:rPr>
          <w:rFonts w:ascii="宋体" w:hAnsi="宋体" w:eastAsia="宋体" w:cs="宋体"/>
          <w:b/>
          <w:bCs/>
          <w:sz w:val="21"/>
          <w:szCs w:val="21"/>
        </w:rPr>
        <w:t>60、未分配利润</w:t>
      </w:r>
      <w:bookmarkEnd w:id="36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调整前上期末未分配利润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1,836,141,587.57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1,235,240,245.40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调整期初未分配利润合计数（调增+，调减-）</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5,613,003.75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调整后期初未分配利润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1,836,141,587.57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1,240,853,249.15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加：本期归属于母公司所有者的净利润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1,094,564,982.49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896,989,620.99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期末未分配利润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2,930,706,570.06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2,137,842,870.14</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调整期初未分配利润明细：</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1)、由于《企业会计准则》及其相关新规定进行追溯调整，影响期初未分配利润元。</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2)、由于会计政策变更，影响期初未分配利润元。</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3)、由于重大会计差错更正，影响期初未分配利润元。</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4)、由于同一控制导致的合并范围变更，影响期初未分配利润元。</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5)、其他调整合计影响期初未分配利润元。</w:t>
      </w:r>
    </w:p>
    <w:p>
      <w:pPr>
        <w:keepNext/>
        <w:keepLines/>
        <w:spacing w:before="300" w:after="300" w:line="280" w:lineRule="exact"/>
        <w:jc w:val="left"/>
        <w:outlineLvl w:val="2"/>
        <w:rPr>
          <w:rFonts w:ascii="宋体" w:hAnsi="宋体" w:eastAsia="宋体" w:cs="宋体"/>
          <w:b/>
          <w:bCs/>
          <w:sz w:val="21"/>
          <w:szCs w:val="21"/>
        </w:rPr>
      </w:pPr>
      <w:bookmarkStart w:id="366" w:name="_Toc989255"/>
      <w:r>
        <w:rPr>
          <w:rFonts w:ascii="宋体" w:hAnsi="宋体" w:eastAsia="宋体" w:cs="宋体"/>
          <w:b/>
          <w:bCs/>
          <w:sz w:val="21"/>
          <w:szCs w:val="21"/>
        </w:rPr>
        <w:t>61、营业收入和营业成本</w:t>
      </w:r>
      <w:bookmarkEnd w:id="36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成本</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成本</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主营业务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6,820,085,672.59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4,548,985,595.79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7,442,777,069.50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5,229,112,515.28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其他业务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67,164,606.38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10,764,013.45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191,664,149.29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141,696,275.35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6,887,250,278.97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4,559,749,609.24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7,634,441,218.79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5,370,808,790.63</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营业收入、营业成本的分解信息：</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合同分类</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分部1</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分部2</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营业成本</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营业成本</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营业成本</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营业成本</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业务类型</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6,887,250,278.97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4,559,749,609.24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6,887,250,278.97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4,559,749,609.24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煤电产品</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2,290,254,658.32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1,652,149,880.64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2,290,254,658.32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1,652,149,880.64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热力产品</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731,108,770.72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893,729,546.47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731,108,770.72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893,729,546.47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风电产品</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1,688,385,747.09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764,251,997.01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1,688,385,747.09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764,251,997.01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太阳能产品</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2,020,417,826.53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1,109,464,796.04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2,020,417,826.53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1,109,464,796.04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其他产品</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157,083,276.31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140,153,389.08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157,083,276.31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140,153,389.08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按经营地区分类</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6,887,250,278.97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4,559,749,609.24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6,887,250,278.97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4,559,749,609.24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　其中：</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东北地区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4,007,039,158.31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3,107,238,769.52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4,007,039,158.31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3,107,238,769.52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华东地区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1,275,956,897.67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661,008,177.71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1,275,956,897.67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661,008,177.71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西北地区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616,098,837.73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334,006,307.21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616,098,837.73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334,006,307.21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华北地区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511,480,141.97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230,844,185.56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511,480,141.97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230,844,185.56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华南地区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221,080,975.92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127,403,103.98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221,080,975.92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127,403,103.98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华中地区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116,558,629.57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56,889,268.26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116,558,629.57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56,889,268.26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西南地区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139,035,637.80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42,359,797.00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139,035,637.80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42,359,797.00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市场或客户类型</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　其中：</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合同类型</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　其中：</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按商品转让的时间分类</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　其中：</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按合同期限分类</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　其中：</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按销售渠道分类</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　其中：</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6,887,250,278.97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4,559,749,609.24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6,887,250,278.97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4,559,749,609.24</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与履约义务相关的信息：</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履行履约义务的时间</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重要的支付条款</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公司承诺转让商品的性质</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是否为主要责任人</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公司承担的预期将退还给客户的款项</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公司提供的质量保证类型及相关义务</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与分摊至剩余履约义务的交易价格相关的信息：</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本报告期末已签订合同、但尚未履行或尚未履行完毕的履约义务所对应的收入金额为0.00元，其中，元预计将于年度确认收入，元预计将于年度确认收入，元预计将于年度确认收入。</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合同中可变对价相关信息：</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重大合同变更或重大交易价格调整</w:t>
      </w:r>
    </w:p>
    <w:p>
      <w:pPr>
        <w:spacing w:before="100" w:after="10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会计处理方法</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对收入的影响金额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67" w:name="_Toc989256"/>
      <w:r>
        <w:rPr>
          <w:rFonts w:ascii="宋体" w:hAnsi="宋体" w:eastAsia="宋体" w:cs="宋体"/>
          <w:b/>
          <w:bCs/>
          <w:sz w:val="21"/>
          <w:szCs w:val="21"/>
        </w:rPr>
        <w:t>62、税金及附加</w:t>
      </w:r>
      <w:bookmarkEnd w:id="36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城市维护建设税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12,642,597.90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17,414,798.95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教育费附加</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13,730,545.22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14,258,155.61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房产税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9,293,149.61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8,841,801.63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土地使用税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15,382,123.11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13,936,881.21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车船使用税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47,654.62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71,315.43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印花税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4,140,085.20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4,695,706.31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环境保护税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1,404,699.19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1,663,674.14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水利建设基金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1,537,971.52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3,020,178.08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8,875.96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124,206.65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58,187,702.33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64,026,718.01</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68" w:name="_Toc989257"/>
      <w:r>
        <w:rPr>
          <w:rFonts w:ascii="宋体" w:hAnsi="宋体" w:eastAsia="宋体" w:cs="宋体"/>
          <w:b/>
          <w:bCs/>
          <w:sz w:val="21"/>
          <w:szCs w:val="21"/>
        </w:rPr>
        <w:t>63、管理费用</w:t>
      </w:r>
      <w:bookmarkEnd w:id="36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职工薪酬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42,063,012.68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36,847,137.79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折旧费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4,341,816.84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5,857,492.35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无形资产摊销</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2,293,599.75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1,765,411.67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业务招待费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431,969.27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838,444.76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差旅费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3,767,217.19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3,802,121.34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办公费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174,887.69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202,470.98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水电费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310,781.24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79,798.76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会议费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468,808.50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2,002,936.11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租赁费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30,285.00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649,843.58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审计费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518,867.92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1,296,226.41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律师费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1,430,849.06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702,830.17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咨询费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1,390,195.45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1,498,207.54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车辆使用费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201,735.13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296,266.80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物业管理费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4,536,035.03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4,232,054.68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董事会费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202,015.86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71,052.66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低值易耗品摊销</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66,952.00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64,378.02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党团会费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12,504.48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广告宣传费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876,592.57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938,962.91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取暖费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656,145.09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603,150.39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修理费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信息化费用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184,243.40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962,074.63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印刷费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26,618.06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7,925.40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1,428,813.52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1,855,254.53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65,445,441.25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64,587,146.96</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69" w:name="_Toc989258"/>
      <w:r>
        <w:rPr>
          <w:rFonts w:ascii="宋体" w:hAnsi="宋体" w:eastAsia="宋体" w:cs="宋体"/>
          <w:b/>
          <w:bCs/>
          <w:sz w:val="21"/>
          <w:szCs w:val="21"/>
        </w:rPr>
        <w:t>64、销售费用</w:t>
      </w:r>
      <w:bookmarkEnd w:id="36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70" w:name="_Toc989259"/>
      <w:r>
        <w:rPr>
          <w:rFonts w:ascii="宋体" w:hAnsi="宋体" w:eastAsia="宋体" w:cs="宋体"/>
          <w:b/>
          <w:bCs/>
          <w:sz w:val="21"/>
          <w:szCs w:val="21"/>
        </w:rPr>
        <w:t>65、研发费用</w:t>
      </w:r>
      <w:bookmarkEnd w:id="37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职工薪酬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5,222,618.90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12,213,360.30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折旧费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3,617,502.11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961,356.96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委托开发费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研究服务费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材料费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519,742.65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1,292,264.87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1,184,648.77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269,020.87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10,544,512.43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14,736,003.00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71" w:name="_Toc989260"/>
      <w:r>
        <w:rPr>
          <w:rFonts w:ascii="宋体" w:hAnsi="宋体" w:eastAsia="宋体" w:cs="宋体"/>
          <w:b/>
          <w:bCs/>
          <w:sz w:val="21"/>
          <w:szCs w:val="21"/>
        </w:rPr>
        <w:t>66、财务费用</w:t>
      </w:r>
      <w:bookmarkEnd w:id="37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利息费用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727,597,097.32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770,909,101.53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减：利息收入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4,989,043.99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5,904,338.29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手续费支出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295,634.69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7,177,778.01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379,644.03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1,039,302.91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723,283,332.05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773,221,844.16</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72" w:name="_Toc989261"/>
      <w:r>
        <w:rPr>
          <w:rFonts w:ascii="宋体" w:hAnsi="宋体" w:eastAsia="宋体" w:cs="宋体"/>
          <w:b/>
          <w:bCs/>
          <w:sz w:val="21"/>
          <w:szCs w:val="21"/>
        </w:rPr>
        <w:t>67、其他收益</w:t>
      </w:r>
      <w:bookmarkEnd w:id="37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产生其他收益的来源</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即征即退增值税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31,791,563.08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42,157,431.11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地方政府补贴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5,646,893.29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5,286,910.35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稳岗补贴收入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81,804.00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代扣代缴个人所得税手续费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712,263.61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524,228.56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进项税加计抵减额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7,563.13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38,240,087.11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47,968,570.02</w:t>
            </w:r>
          </w:p>
        </w:tc>
      </w:tr>
    </w:tbl>
    <w:p>
      <w:pPr>
        <w:keepNext/>
        <w:keepLines/>
        <w:spacing w:before="300" w:after="300" w:line="280" w:lineRule="exact"/>
        <w:jc w:val="left"/>
        <w:outlineLvl w:val="2"/>
        <w:rPr>
          <w:rFonts w:ascii="宋体" w:hAnsi="宋体" w:eastAsia="宋体" w:cs="宋体"/>
          <w:b/>
          <w:bCs/>
          <w:sz w:val="21"/>
          <w:szCs w:val="21"/>
        </w:rPr>
      </w:pPr>
      <w:bookmarkStart w:id="373" w:name="_Toc989262"/>
      <w:r>
        <w:rPr>
          <w:rFonts w:ascii="宋体" w:hAnsi="宋体" w:eastAsia="宋体" w:cs="宋体"/>
          <w:b/>
          <w:bCs/>
          <w:sz w:val="21"/>
          <w:szCs w:val="21"/>
        </w:rPr>
        <w:t>68、净敞口套期收益</w:t>
      </w:r>
      <w:bookmarkEnd w:id="37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74" w:name="_Toc989263"/>
      <w:r>
        <w:rPr>
          <w:rFonts w:ascii="宋体" w:hAnsi="宋体" w:eastAsia="宋体" w:cs="宋体"/>
          <w:b/>
          <w:bCs/>
          <w:sz w:val="21"/>
          <w:szCs w:val="21"/>
        </w:rPr>
        <w:t>69、公允价值变动收益</w:t>
      </w:r>
      <w:bookmarkEnd w:id="37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产生公允价值变动收益的来源</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75" w:name="_Toc989264"/>
      <w:r>
        <w:rPr>
          <w:rFonts w:ascii="宋体" w:hAnsi="宋体" w:eastAsia="宋体" w:cs="宋体"/>
          <w:b/>
          <w:bCs/>
          <w:sz w:val="21"/>
          <w:szCs w:val="21"/>
        </w:rPr>
        <w:t>70、投资收益</w:t>
      </w:r>
      <w:bookmarkEnd w:id="37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权益法核算的长期股权投资收益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56,584,591.92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36,319,433.83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债权投资在持有期间取得的利息收入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1,118,972.75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56,584,591.92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37,438,406.58</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76" w:name="_Toc989265"/>
      <w:r>
        <w:rPr>
          <w:rFonts w:ascii="宋体" w:hAnsi="宋体" w:eastAsia="宋体" w:cs="宋体"/>
          <w:b/>
          <w:bCs/>
          <w:sz w:val="21"/>
          <w:szCs w:val="21"/>
        </w:rPr>
        <w:t>71、信用减值损失</w:t>
      </w:r>
      <w:bookmarkEnd w:id="37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应收账款坏账损失</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69,311.77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1,118,086.95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其他应收款坏账损失</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973,217.86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80,212.62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1,042,529.63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1,198,299.57</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77" w:name="_Toc989266"/>
      <w:r>
        <w:rPr>
          <w:rFonts w:ascii="宋体" w:hAnsi="宋体" w:eastAsia="宋体" w:cs="宋体"/>
          <w:b/>
          <w:bCs/>
          <w:sz w:val="21"/>
          <w:szCs w:val="21"/>
        </w:rPr>
        <w:t>72、资产减值损失</w:t>
      </w:r>
      <w:bookmarkEnd w:id="37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78" w:name="_Toc989267"/>
      <w:r>
        <w:rPr>
          <w:rFonts w:ascii="宋体" w:hAnsi="宋体" w:eastAsia="宋体" w:cs="宋体"/>
          <w:b/>
          <w:bCs/>
          <w:sz w:val="21"/>
          <w:szCs w:val="21"/>
        </w:rPr>
        <w:t>73、资产处置收益</w:t>
      </w:r>
      <w:bookmarkEnd w:id="37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资产处置收益的来源</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固定资产处置收益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1,381,900.57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548,005.82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使用权资产处置收益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-26,686.65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无形资产处置收益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-26,666.78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1,328,547.14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548,005.82</w:t>
            </w:r>
          </w:p>
        </w:tc>
      </w:tr>
    </w:tbl>
    <w:p>
      <w:pPr>
        <w:keepNext/>
        <w:keepLines/>
        <w:spacing w:before="300" w:after="300" w:line="280" w:lineRule="exact"/>
        <w:jc w:val="left"/>
        <w:outlineLvl w:val="2"/>
        <w:rPr>
          <w:rFonts w:ascii="宋体" w:hAnsi="宋体" w:eastAsia="宋体" w:cs="宋体"/>
          <w:b/>
          <w:bCs/>
          <w:sz w:val="21"/>
          <w:szCs w:val="21"/>
        </w:rPr>
      </w:pPr>
      <w:bookmarkStart w:id="379" w:name="_Toc989268"/>
      <w:r>
        <w:rPr>
          <w:rFonts w:ascii="宋体" w:hAnsi="宋体" w:eastAsia="宋体" w:cs="宋体"/>
          <w:b/>
          <w:bCs/>
          <w:sz w:val="21"/>
          <w:szCs w:val="21"/>
        </w:rPr>
        <w:t>74、营业外收入</w:t>
      </w:r>
      <w:bookmarkEnd w:id="37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计入当期非经常性损益的金额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政府补助</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20,150.00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罚款净收入</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94,361.98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2,777,815.89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94,361.98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违约金收入</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10,256.49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228,920.89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10,256.49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21,839,074.54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41,878,360.99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21,839,074.54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盘盈利得</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1,036.00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467,809.01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1,036.00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电量补偿</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53,853,899.52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3,149,983.04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53,853,899.52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75,901,628.53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48,523,039.82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75,901,628.53</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80" w:name="_Toc989269"/>
      <w:r>
        <w:rPr>
          <w:rFonts w:ascii="宋体" w:hAnsi="宋体" w:eastAsia="宋体" w:cs="宋体"/>
          <w:b/>
          <w:bCs/>
          <w:sz w:val="21"/>
          <w:szCs w:val="21"/>
        </w:rPr>
        <w:t>75、营业外支出</w:t>
      </w:r>
      <w:bookmarkEnd w:id="38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计入当期非经常性损益的金额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对外捐赠</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非流动资产毁损报废损失</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104,265.92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滞纳金、违约金及罚款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982,912.23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3,407,175.02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982,912.23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982,912.23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3,811,440.94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982,912.23</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81" w:name="_Toc989270"/>
      <w:r>
        <w:rPr>
          <w:rFonts w:ascii="宋体" w:hAnsi="宋体" w:eastAsia="宋体" w:cs="宋体"/>
          <w:b/>
          <w:bCs/>
          <w:sz w:val="21"/>
          <w:szCs w:val="21"/>
        </w:rPr>
        <w:t>76、所得税费用</w:t>
      </w:r>
      <w:bookmarkEnd w:id="381"/>
    </w:p>
    <w:p>
      <w:pPr>
        <w:keepNext/>
        <w:keepLines/>
        <w:spacing w:before="300" w:after="300" w:line="280" w:lineRule="exact"/>
        <w:jc w:val="left"/>
        <w:outlineLvl w:val="3"/>
        <w:rPr>
          <w:rFonts w:ascii="宋体" w:hAnsi="宋体" w:eastAsia="宋体" w:cs="宋体"/>
          <w:b/>
          <w:bCs/>
          <w:sz w:val="21"/>
          <w:szCs w:val="21"/>
        </w:rPr>
      </w:pPr>
      <w:bookmarkStart w:id="382" w:name="_Toc989271"/>
      <w:r>
        <w:rPr>
          <w:rFonts w:ascii="宋体" w:hAnsi="宋体" w:eastAsia="宋体" w:cs="宋体"/>
          <w:b/>
          <w:bCs/>
          <w:sz w:val="21"/>
          <w:szCs w:val="21"/>
        </w:rPr>
        <w:t>（1） 所得税费用表</w:t>
      </w:r>
      <w:bookmarkEnd w:id="38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当期所得税费用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211,322,356.32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205,665,218.50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递延所得税费用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-7,255,245.16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-6,445,541.87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204,067,111.16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199,219,676.63</w:t>
            </w:r>
          </w:p>
        </w:tc>
      </w:tr>
    </w:tbl>
    <w:p>
      <w:pPr>
        <w:keepNext/>
        <w:keepLines/>
        <w:spacing w:before="300" w:after="300" w:line="280" w:lineRule="exact"/>
        <w:jc w:val="left"/>
        <w:outlineLvl w:val="3"/>
        <w:rPr>
          <w:rFonts w:ascii="宋体" w:hAnsi="宋体" w:eastAsia="宋体" w:cs="宋体"/>
          <w:b/>
          <w:bCs/>
          <w:sz w:val="21"/>
          <w:szCs w:val="21"/>
        </w:rPr>
      </w:pPr>
      <w:bookmarkStart w:id="383" w:name="_Toc989272"/>
      <w:r>
        <w:rPr>
          <w:rFonts w:ascii="宋体" w:hAnsi="宋体" w:eastAsia="宋体" w:cs="宋体"/>
          <w:b/>
          <w:bCs/>
          <w:sz w:val="21"/>
          <w:szCs w:val="21"/>
        </w:rPr>
        <w:t>（2） 会计利润与所得税费用调整过程</w:t>
      </w:r>
      <w:bookmarkEnd w:id="38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利润总额</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1,642,154,153.77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按法定/适用税率计算的所得税费用</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410,538,538.44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子公司适用不同税率的影响</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-139,782,722.83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调整以前期间所得税的影响</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5,598,289.20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非应税收入的影响</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-62,296,964.06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不可抵扣的成本、费用和损失的影响</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316,841.73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使用前期未确认递延所得税资产的可抵扣亏损的影响</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-28,033,986.61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本期未确认递延所得税资产的可抵扣暂时性差异或可抵扣亏损的影响</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18,535,604.61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-808,489.33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所得税费用</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204,067,111.16</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84" w:name="_Toc989273"/>
      <w:r>
        <w:rPr>
          <w:rFonts w:ascii="宋体" w:hAnsi="宋体" w:eastAsia="宋体" w:cs="宋体"/>
          <w:b/>
          <w:bCs/>
          <w:sz w:val="21"/>
          <w:szCs w:val="21"/>
        </w:rPr>
        <w:t>77、其他综合收益</w:t>
      </w:r>
      <w:bookmarkEnd w:id="384"/>
    </w:p>
    <w:p>
      <w:pPr>
        <w:spacing w:before="40" w:after="40" w:line="240" w:lineRule="exact"/>
        <w:jc w:val="left"/>
        <w:rPr>
          <w:rFonts w:ascii="宋体" w:hAnsi="宋体" w:eastAsia="宋体" w:cs="宋体"/>
          <w:sz w:val="18"/>
          <w:szCs w:val="18"/>
        </w:rPr>
      </w:pPr>
      <w:r>
        <w:rPr>
          <w:rFonts w:ascii="宋体" w:hAnsi="宋体" w:eastAsia="宋体" w:cs="宋体"/>
          <w:sz w:val="18"/>
          <w:szCs w:val="18"/>
        </w:rPr>
        <w:t>详见附注57。</w:t>
      </w:r>
    </w:p>
    <w:p>
      <w:pPr>
        <w:keepNext/>
        <w:keepLines/>
        <w:spacing w:before="300" w:after="300" w:line="280" w:lineRule="exact"/>
        <w:jc w:val="left"/>
        <w:outlineLvl w:val="2"/>
        <w:rPr>
          <w:rFonts w:ascii="宋体" w:hAnsi="宋体" w:eastAsia="宋体" w:cs="宋体"/>
          <w:b/>
          <w:bCs/>
          <w:sz w:val="21"/>
          <w:szCs w:val="21"/>
        </w:rPr>
      </w:pPr>
      <w:bookmarkStart w:id="385" w:name="_Toc989274"/>
      <w:r>
        <w:rPr>
          <w:rFonts w:ascii="宋体" w:hAnsi="宋体" w:eastAsia="宋体" w:cs="宋体"/>
          <w:b/>
          <w:bCs/>
          <w:sz w:val="21"/>
          <w:szCs w:val="21"/>
        </w:rPr>
        <w:t>78、现金流量表项目</w:t>
      </w:r>
      <w:bookmarkEnd w:id="385"/>
    </w:p>
    <w:p>
      <w:pPr>
        <w:keepNext/>
        <w:keepLines/>
        <w:spacing w:before="300" w:after="300" w:line="280" w:lineRule="exact"/>
        <w:jc w:val="left"/>
        <w:outlineLvl w:val="3"/>
        <w:rPr>
          <w:rFonts w:ascii="宋体" w:hAnsi="宋体" w:eastAsia="宋体" w:cs="宋体"/>
          <w:b/>
          <w:bCs/>
          <w:sz w:val="21"/>
          <w:szCs w:val="21"/>
        </w:rPr>
      </w:pPr>
      <w:bookmarkStart w:id="386" w:name="_Toc989275"/>
      <w:r>
        <w:rPr>
          <w:rFonts w:ascii="宋体" w:hAnsi="宋体" w:eastAsia="宋体" w:cs="宋体"/>
          <w:b/>
          <w:bCs/>
          <w:sz w:val="21"/>
          <w:szCs w:val="21"/>
        </w:rPr>
        <w:t>（1） 与经营活动有关的现金</w:t>
      </w:r>
      <w:bookmarkEnd w:id="386"/>
    </w:p>
    <w:p>
      <w:pPr>
        <w:spacing w:before="100" w:after="100" w:line="240" w:lineRule="exact"/>
        <w:jc w:val="left"/>
        <w:rPr>
          <w:rFonts w:ascii="宋体" w:hAnsi="宋体" w:eastAsia="宋体" w:cs="宋体"/>
          <w:sz w:val="18"/>
          <w:szCs w:val="18"/>
        </w:rPr>
      </w:pPr>
      <w:r>
        <w:rPr>
          <w:rFonts w:ascii="宋体" w:hAnsi="宋体" w:eastAsia="宋体" w:cs="宋体"/>
          <w:sz w:val="18"/>
          <w:szCs w:val="18"/>
        </w:rPr>
        <w:t>收到的其他与经营活动有关的现金</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政府补助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12,193,682.23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2,771,938.11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银行利息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4,208,743.97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3,721,662.06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收违约金、考核款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108,321.00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121,815.52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收往来款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15,522,647.49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15,049,790.42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收保证金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18,243,287.92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8,654,597.18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保险公司赔款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830,172.18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9,742,052.48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职工还备用金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86,298.60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2,376.00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收抵押金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4,681,119.63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受限资金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7,000,100.21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14,957,591.31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1,089,117.72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77,831,964.54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41,160,849.49</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收到的其他与经营活动有关的现金说明：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支付的其他与经营活动有关的现金</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租赁费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15,447,891.89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16,973,463.25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20,235,272.49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7,443,917.91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运维费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3,161,464.87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2,428,516.49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运输费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1,922,813.97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1,936,477.52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业务招待费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3,257,404.70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4,160,792.08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修缮费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2,246,078.50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2,087,086.55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消防警卫费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334,670.00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429,865.00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物业费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16,498,540.95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18,217,783.82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网络通信费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651,299.96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100,164.77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退休人员费用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945,539.26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915,249.26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诉讼费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755,941.81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1,649.83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水电费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2,998,626.16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970,241.80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手续费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238,813.97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717,525.96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实验检验费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1,137,529.47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430,445.50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审计费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3,967,797.69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3,090,506.60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评估费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202,380.00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150,192.00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排污费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506,822.00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67,250.00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劳动保护费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718,595.20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979,733.08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技术监督服务费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4,902,965.05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3,284,420.00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会议费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668,899.54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2,152,854.47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广告费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1,473,707.51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922,243.52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工会经费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3,994,595.80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5,274,531.95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党团经费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804,226.21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762,410.11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差旅费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14,120,647.58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13,859,040.83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保证金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42,611,599.27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23,054,999.73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保险费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2,320,360.45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3,336,721.10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办公费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1,961,192.87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3,068,331.13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信息化费用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9,109,906.03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10,432,114.72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66,080,898.85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42,485,554.40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223,276,482.05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169,734,083.38</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支付的其他与经营活动有关的现金说明：</w:t>
      </w:r>
    </w:p>
    <w:p>
      <w:pPr>
        <w:keepNext/>
        <w:keepLines/>
        <w:spacing w:before="300" w:after="300" w:line="280" w:lineRule="exact"/>
        <w:jc w:val="left"/>
        <w:outlineLvl w:val="3"/>
        <w:rPr>
          <w:rFonts w:ascii="宋体" w:hAnsi="宋体" w:eastAsia="宋体" w:cs="宋体"/>
          <w:b/>
          <w:bCs/>
          <w:sz w:val="21"/>
          <w:szCs w:val="21"/>
        </w:rPr>
      </w:pPr>
      <w:bookmarkStart w:id="387" w:name="_Toc989276"/>
      <w:r>
        <w:rPr>
          <w:rFonts w:ascii="宋体" w:hAnsi="宋体" w:eastAsia="宋体" w:cs="宋体"/>
          <w:b/>
          <w:bCs/>
          <w:sz w:val="21"/>
          <w:szCs w:val="21"/>
        </w:rPr>
        <w:t>（2） 与投资活动有关的现金</w:t>
      </w:r>
      <w:bookmarkEnd w:id="387"/>
    </w:p>
    <w:p>
      <w:pPr>
        <w:spacing w:before="100" w:after="100" w:line="240" w:lineRule="exact"/>
        <w:jc w:val="left"/>
        <w:rPr>
          <w:rFonts w:ascii="宋体" w:hAnsi="宋体" w:eastAsia="宋体" w:cs="宋体"/>
          <w:sz w:val="18"/>
          <w:szCs w:val="18"/>
        </w:rPr>
      </w:pPr>
      <w:r>
        <w:rPr>
          <w:rFonts w:ascii="宋体" w:hAnsi="宋体" w:eastAsia="宋体" w:cs="宋体"/>
          <w:sz w:val="18"/>
          <w:szCs w:val="18"/>
        </w:rPr>
        <w:t>收到的其他与投资活动有关的现金</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收到的重要的与投资活动有关的现金</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收到的其他与投资活动有关的现金说明：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支付的其他与投资活动有关的现金</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支付的重要的与投资活动有关的现金</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支付的其他与投资活动有关的现金说明：</w:t>
      </w:r>
    </w:p>
    <w:p>
      <w:pPr>
        <w:keepNext/>
        <w:keepLines/>
        <w:spacing w:before="300" w:after="300" w:line="280" w:lineRule="exact"/>
        <w:jc w:val="left"/>
        <w:outlineLvl w:val="3"/>
        <w:rPr>
          <w:rFonts w:ascii="宋体" w:hAnsi="宋体" w:eastAsia="宋体" w:cs="宋体"/>
          <w:b/>
          <w:bCs/>
          <w:sz w:val="21"/>
          <w:szCs w:val="21"/>
        </w:rPr>
      </w:pPr>
      <w:bookmarkStart w:id="388" w:name="_Toc989277"/>
      <w:r>
        <w:rPr>
          <w:rFonts w:ascii="宋体" w:hAnsi="宋体" w:eastAsia="宋体" w:cs="宋体"/>
          <w:b/>
          <w:bCs/>
          <w:sz w:val="21"/>
          <w:szCs w:val="21"/>
        </w:rPr>
        <w:t>（3） 与筹资活动有关的现金</w:t>
      </w:r>
      <w:bookmarkEnd w:id="388"/>
    </w:p>
    <w:p>
      <w:pPr>
        <w:spacing w:before="100" w:after="100" w:line="240" w:lineRule="exact"/>
        <w:jc w:val="left"/>
        <w:rPr>
          <w:rFonts w:ascii="宋体" w:hAnsi="宋体" w:eastAsia="宋体" w:cs="宋体"/>
          <w:sz w:val="18"/>
          <w:szCs w:val="18"/>
        </w:rPr>
      </w:pPr>
      <w:r>
        <w:rPr>
          <w:rFonts w:ascii="宋体" w:hAnsi="宋体" w:eastAsia="宋体" w:cs="宋体"/>
          <w:sz w:val="18"/>
          <w:szCs w:val="18"/>
        </w:rPr>
        <w:t>收到的其他与筹资活动有关的现金</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收融资租赁款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207,211,000.00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207,211,000.00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85,000,000.00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收到的其他与筹资活动有关的现金说明：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支付的其他与筹资活动有关的现金</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融资手续费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6,140,824.64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10,191,102.96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融资租赁款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1,143,415,769.02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433,505,172.44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支付土地租赁费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55,243,438.36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67,581,215.99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购买小股东股权</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1,210,800,032.02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511,277,491.39</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支付的其他与筹资活动有关的现金说明：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筹资活动产生的各项负债变动情况</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21"/>
          <w:szCs w:val="21"/>
        </w:rPr>
      </w:pPr>
      <w:bookmarkStart w:id="389" w:name="_Toc989278"/>
      <w:r>
        <w:rPr>
          <w:rFonts w:ascii="宋体" w:hAnsi="宋体" w:eastAsia="宋体" w:cs="宋体"/>
          <w:b/>
          <w:bCs/>
          <w:sz w:val="21"/>
          <w:szCs w:val="21"/>
        </w:rPr>
        <w:t>（4） 以净额列报现金流量的说明</w:t>
      </w:r>
      <w:bookmarkEnd w:id="389"/>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相关事实情况</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采用净额列报的依据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财务影响</w:t>
            </w:r>
          </w:p>
        </w:tc>
      </w:tr>
    </w:tbl>
    <w:p>
      <w:pPr>
        <w:keepNext/>
        <w:keepLines/>
        <w:spacing w:before="300" w:after="300" w:line="280" w:lineRule="exact"/>
        <w:jc w:val="left"/>
        <w:outlineLvl w:val="3"/>
        <w:rPr>
          <w:rFonts w:ascii="宋体" w:hAnsi="宋体" w:eastAsia="宋体" w:cs="宋体"/>
          <w:b/>
          <w:bCs/>
          <w:sz w:val="21"/>
          <w:szCs w:val="21"/>
        </w:rPr>
      </w:pPr>
      <w:bookmarkStart w:id="390" w:name="_Toc989279"/>
      <w:r>
        <w:rPr>
          <w:rFonts w:ascii="宋体" w:hAnsi="宋体" w:eastAsia="宋体" w:cs="宋体"/>
          <w:b/>
          <w:bCs/>
          <w:sz w:val="21"/>
          <w:szCs w:val="21"/>
        </w:rPr>
        <w:t>（5） 不涉及当期现金收支、但影响企业财务状况或在未来可能影响企业现金流量的重大活动及财务影响</w:t>
      </w:r>
      <w:bookmarkEnd w:id="390"/>
    </w:p>
    <w:p>
      <w:pPr>
        <w:keepNext/>
        <w:keepLines/>
        <w:spacing w:before="300" w:after="300" w:line="280" w:lineRule="exact"/>
        <w:jc w:val="left"/>
        <w:outlineLvl w:val="2"/>
        <w:rPr>
          <w:rFonts w:ascii="宋体" w:hAnsi="宋体" w:eastAsia="宋体" w:cs="宋体"/>
          <w:b/>
          <w:bCs/>
          <w:sz w:val="21"/>
          <w:szCs w:val="21"/>
        </w:rPr>
      </w:pPr>
      <w:bookmarkStart w:id="391" w:name="_Toc989280"/>
      <w:r>
        <w:rPr>
          <w:rFonts w:ascii="宋体" w:hAnsi="宋体" w:eastAsia="宋体" w:cs="宋体"/>
          <w:b/>
          <w:bCs/>
          <w:sz w:val="21"/>
          <w:szCs w:val="21"/>
        </w:rPr>
        <w:t>79、现金流量表补充资料</w:t>
      </w:r>
      <w:bookmarkEnd w:id="391"/>
    </w:p>
    <w:p>
      <w:pPr>
        <w:keepNext/>
        <w:keepLines/>
        <w:spacing w:before="300" w:after="300" w:line="280" w:lineRule="exact"/>
        <w:jc w:val="left"/>
        <w:outlineLvl w:val="3"/>
        <w:rPr>
          <w:rFonts w:ascii="宋体" w:hAnsi="宋体" w:eastAsia="宋体" w:cs="宋体"/>
          <w:b/>
          <w:bCs/>
          <w:sz w:val="21"/>
          <w:szCs w:val="21"/>
        </w:rPr>
      </w:pPr>
      <w:bookmarkStart w:id="392" w:name="_Toc989281"/>
      <w:r>
        <w:rPr>
          <w:rFonts w:ascii="宋体" w:hAnsi="宋体" w:eastAsia="宋体" w:cs="宋体"/>
          <w:b/>
          <w:bCs/>
          <w:sz w:val="21"/>
          <w:szCs w:val="21"/>
        </w:rPr>
        <w:t>（1） 现金流量表补充资料</w:t>
      </w:r>
      <w:bookmarkEnd w:id="39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补充资料</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1．将净利润调节为经营活动现金流量：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净利润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1,438,087,042.61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1,279,705,920.27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加：资产减值准备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-1,042,529.63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-1,198,299.57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固定资产折旧、油气资产折耗、生产性生物资产折旧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1,781,791,800.70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1,678,577,988.70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使用权资产折旧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49,825,469.72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39,469,028.91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无形资产摊销</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43,892,462.29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21,176,113.75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长期待摊费用摊销</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17,002,378.06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12,163,811.26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处置固定资产、无形资产和其他长期资产的损失（收益以“－”号填列）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-1,328,547.14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-548,005.82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固定资产报废损失（收益以“－”号填列）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104,265.92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公允价值变动损失（收益以“－”号填列）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财务费用（收益以“－”号填列）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727,597,097.32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770,909,101.53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投资损失（收益以“－”号填列）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-56,584,591.92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-37,438,406.58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递延所得税资产减少（增加以“－”号填列）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39,971,159.06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3,009,299.92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递延所得税负债增加（减少以“－”号填列）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-130,318,571.34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-9,454,841.79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存货的减少（增加以“－”号填列）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-141,055,020.55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-14,931,217.62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经营性应收项目的减少（增加以“－”号填列）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-1,617,410,708.35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-1,598,193,608.21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经营性应付项目的增加（减少以“－”号填列）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-144,975,941.43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-161,927,788.98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48,271,521.11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60,417,008.36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经营活动产生的现金流量净额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2,053,723,020.51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2,041,840,370.05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2．不涉及现金收支的重大投资和筹资活动：</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债务转为资本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一年内到期的可转换公司债券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融资租入固定资产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3．现金及现金等价物净变动情况：</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现金的期末余额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1,350,253,977.25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1,409,636,448.68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减：现金的期初余额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1,038,736,055.24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1,134,901,784.46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加：现金等价物的期末余额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减：现金等价物的期初余额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现金及现金等价物净增加额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311,517,922.01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274,734,664.22</w:t>
            </w:r>
          </w:p>
        </w:tc>
      </w:tr>
    </w:tbl>
    <w:p>
      <w:pPr>
        <w:keepNext/>
        <w:keepLines/>
        <w:spacing w:before="300" w:after="300" w:line="280" w:lineRule="exact"/>
        <w:jc w:val="left"/>
        <w:outlineLvl w:val="3"/>
        <w:rPr>
          <w:rFonts w:ascii="宋体" w:hAnsi="宋体" w:eastAsia="宋体" w:cs="宋体"/>
          <w:b/>
          <w:bCs/>
          <w:sz w:val="21"/>
          <w:szCs w:val="21"/>
        </w:rPr>
      </w:pPr>
      <w:bookmarkStart w:id="393" w:name="_Toc989282"/>
      <w:r>
        <w:rPr>
          <w:rFonts w:ascii="宋体" w:hAnsi="宋体" w:eastAsia="宋体" w:cs="宋体"/>
          <w:b/>
          <w:bCs/>
          <w:sz w:val="21"/>
          <w:szCs w:val="21"/>
        </w:rPr>
        <w:t>（2） 本期支付的取得子公司的现金净额</w:t>
      </w:r>
      <w:bookmarkEnd w:id="39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394" w:name="_Toc989283"/>
      <w:r>
        <w:rPr>
          <w:rFonts w:ascii="宋体" w:hAnsi="宋体" w:eastAsia="宋体" w:cs="宋体"/>
          <w:b/>
          <w:bCs/>
          <w:sz w:val="21"/>
          <w:szCs w:val="21"/>
        </w:rPr>
        <w:t>（3） 本期收到的处置子公司的现金净额</w:t>
      </w:r>
      <w:bookmarkEnd w:id="39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395" w:name="_Toc989284"/>
      <w:r>
        <w:rPr>
          <w:rFonts w:ascii="宋体" w:hAnsi="宋体" w:eastAsia="宋体" w:cs="宋体"/>
          <w:b/>
          <w:bCs/>
          <w:sz w:val="21"/>
          <w:szCs w:val="21"/>
        </w:rPr>
        <w:t>（4） 现金和现金等价物的构成</w:t>
      </w:r>
      <w:bookmarkEnd w:id="39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1,350,253,977.25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1,038,736,055.24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可随时用于支付的银行存款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1,350,253,977.25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1,038,736,055.24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三、期末现金及现金等价物余额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1,350,253,977.25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1,038,736,055.24</w:t>
            </w:r>
          </w:p>
        </w:tc>
      </w:tr>
    </w:tbl>
    <w:p>
      <w:pPr>
        <w:keepNext/>
        <w:keepLines/>
        <w:spacing w:before="300" w:after="300" w:line="280" w:lineRule="exact"/>
        <w:jc w:val="left"/>
        <w:outlineLvl w:val="3"/>
        <w:rPr>
          <w:rFonts w:ascii="宋体" w:hAnsi="宋体" w:eastAsia="宋体" w:cs="宋体"/>
          <w:b/>
          <w:bCs/>
          <w:sz w:val="21"/>
          <w:szCs w:val="21"/>
        </w:rPr>
      </w:pPr>
      <w:bookmarkStart w:id="396" w:name="_Toc989285"/>
      <w:r>
        <w:rPr>
          <w:rFonts w:ascii="宋体" w:hAnsi="宋体" w:eastAsia="宋体" w:cs="宋体"/>
          <w:b/>
          <w:bCs/>
          <w:sz w:val="21"/>
          <w:szCs w:val="21"/>
        </w:rPr>
        <w:t>（5） 使用范围受限但仍属于现金及现金等价物列示的情况</w:t>
      </w:r>
      <w:bookmarkEnd w:id="39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本期金额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上期金额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仍属于现金及现金等价物的理由</w:t>
            </w:r>
          </w:p>
        </w:tc>
      </w:tr>
    </w:tbl>
    <w:p>
      <w:pPr>
        <w:keepNext/>
        <w:keepLines/>
        <w:spacing w:before="300" w:after="300" w:line="280" w:lineRule="exact"/>
        <w:jc w:val="left"/>
        <w:outlineLvl w:val="3"/>
        <w:rPr>
          <w:rFonts w:ascii="宋体" w:hAnsi="宋体" w:eastAsia="宋体" w:cs="宋体"/>
          <w:b/>
          <w:bCs/>
          <w:sz w:val="21"/>
          <w:szCs w:val="21"/>
        </w:rPr>
      </w:pPr>
      <w:bookmarkStart w:id="397" w:name="_Toc989286"/>
      <w:r>
        <w:rPr>
          <w:rFonts w:ascii="宋体" w:hAnsi="宋体" w:eastAsia="宋体" w:cs="宋体"/>
          <w:b/>
          <w:bCs/>
          <w:sz w:val="21"/>
          <w:szCs w:val="21"/>
        </w:rPr>
        <w:t>（6） 不属于现金及现金等价物的货币资金</w:t>
      </w:r>
      <w:bookmarkEnd w:id="39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本期金额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上期金额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不属于现金及现金等价物的理由</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398" w:name="_Toc989287"/>
      <w:r>
        <w:rPr>
          <w:rFonts w:ascii="宋体" w:hAnsi="宋体" w:eastAsia="宋体" w:cs="宋体"/>
          <w:b/>
          <w:bCs/>
          <w:sz w:val="21"/>
          <w:szCs w:val="21"/>
        </w:rPr>
        <w:t>（7） 其他重大活动说明</w:t>
      </w:r>
      <w:bookmarkEnd w:id="398"/>
    </w:p>
    <w:p>
      <w:pPr>
        <w:keepNext/>
        <w:keepLines/>
        <w:spacing w:before="300" w:after="300" w:line="280" w:lineRule="exact"/>
        <w:jc w:val="left"/>
        <w:outlineLvl w:val="2"/>
        <w:rPr>
          <w:rFonts w:ascii="宋体" w:hAnsi="宋体" w:eastAsia="宋体" w:cs="宋体"/>
          <w:b/>
          <w:bCs/>
          <w:sz w:val="21"/>
          <w:szCs w:val="21"/>
        </w:rPr>
      </w:pPr>
      <w:bookmarkStart w:id="399" w:name="_Toc989288"/>
      <w:r>
        <w:rPr>
          <w:rFonts w:ascii="宋体" w:hAnsi="宋体" w:eastAsia="宋体" w:cs="宋体"/>
          <w:b/>
          <w:bCs/>
          <w:sz w:val="21"/>
          <w:szCs w:val="21"/>
        </w:rPr>
        <w:t>80、所有者权益变动表项目注释</w:t>
      </w:r>
      <w:bookmarkEnd w:id="399"/>
    </w:p>
    <w:p>
      <w:pPr>
        <w:spacing w:before="100" w:after="100" w:line="240" w:lineRule="exact"/>
        <w:jc w:val="left"/>
        <w:rPr>
          <w:rFonts w:ascii="宋体" w:hAnsi="宋体" w:eastAsia="宋体" w:cs="宋体"/>
          <w:sz w:val="18"/>
          <w:szCs w:val="18"/>
        </w:rPr>
      </w:pPr>
      <w:r>
        <w:rPr>
          <w:rFonts w:ascii="宋体" w:hAnsi="宋体" w:eastAsia="宋体" w:cs="宋体"/>
          <w:sz w:val="18"/>
          <w:szCs w:val="18"/>
        </w:rPr>
        <w:t>说明对上年年末余额进行调整的“其他”项目名称及调整金额等事项：</w:t>
      </w:r>
    </w:p>
    <w:p>
      <w:pPr>
        <w:keepNext/>
        <w:keepLines/>
        <w:spacing w:before="300" w:after="300" w:line="280" w:lineRule="exact"/>
        <w:jc w:val="left"/>
        <w:outlineLvl w:val="2"/>
        <w:rPr>
          <w:rFonts w:ascii="宋体" w:hAnsi="宋体" w:eastAsia="宋体" w:cs="宋体"/>
          <w:b/>
          <w:bCs/>
          <w:sz w:val="21"/>
          <w:szCs w:val="21"/>
        </w:rPr>
      </w:pPr>
      <w:bookmarkStart w:id="400" w:name="_Toc989289"/>
      <w:r>
        <w:rPr>
          <w:rFonts w:ascii="宋体" w:hAnsi="宋体" w:eastAsia="宋体" w:cs="宋体"/>
          <w:b/>
          <w:bCs/>
          <w:sz w:val="21"/>
          <w:szCs w:val="21"/>
        </w:rPr>
        <w:t>81、外币货币性项目</w:t>
      </w:r>
      <w:bookmarkEnd w:id="400"/>
    </w:p>
    <w:p>
      <w:pPr>
        <w:keepNext/>
        <w:keepLines/>
        <w:spacing w:before="300" w:after="300" w:line="280" w:lineRule="exact"/>
        <w:jc w:val="left"/>
        <w:outlineLvl w:val="3"/>
        <w:rPr>
          <w:rFonts w:ascii="宋体" w:hAnsi="宋体" w:eastAsia="宋体" w:cs="宋体"/>
          <w:b/>
          <w:bCs/>
          <w:sz w:val="21"/>
          <w:szCs w:val="21"/>
        </w:rPr>
      </w:pPr>
      <w:bookmarkStart w:id="401" w:name="_Toc989290"/>
      <w:r>
        <w:rPr>
          <w:rFonts w:ascii="宋体" w:hAnsi="宋体" w:eastAsia="宋体" w:cs="宋体"/>
          <w:b/>
          <w:bCs/>
          <w:sz w:val="21"/>
          <w:szCs w:val="21"/>
        </w:rPr>
        <w:t>（1） 外币货币性项目</w:t>
      </w:r>
      <w:bookmarkEnd w:id="40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期末外币余额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折算汇率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期末折算人民币余额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货币资金</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其中：美元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欧元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港币</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应收账款</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其中：美元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欧元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港币</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长期借款</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其中：美元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欧元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港币</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402" w:name="_Toc989291"/>
      <w:r>
        <w:rPr>
          <w:rFonts w:ascii="宋体" w:hAnsi="宋体" w:eastAsia="宋体" w:cs="宋体"/>
          <w:b/>
          <w:bCs/>
          <w:sz w:val="21"/>
          <w:szCs w:val="21"/>
        </w:rPr>
        <w:t>（2） 境外经营实体说明，包括对于重要的境外经营实体，应披露其境外主要经营地、记账本位币及选择依据，记账本位币发生变化的还应披露原因。</w:t>
      </w:r>
      <w:bookmarkEnd w:id="402"/>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403" w:name="_Toc989292"/>
      <w:r>
        <w:rPr>
          <w:rFonts w:ascii="宋体" w:hAnsi="宋体" w:eastAsia="宋体" w:cs="宋体"/>
          <w:b/>
          <w:bCs/>
          <w:sz w:val="21"/>
          <w:szCs w:val="21"/>
        </w:rPr>
        <w:t>82、租赁</w:t>
      </w:r>
      <w:bookmarkEnd w:id="403"/>
    </w:p>
    <w:p>
      <w:pPr>
        <w:keepNext/>
        <w:keepLines/>
        <w:spacing w:before="300" w:after="300" w:line="280" w:lineRule="exact"/>
        <w:jc w:val="left"/>
        <w:outlineLvl w:val="3"/>
        <w:rPr>
          <w:rFonts w:ascii="宋体" w:hAnsi="宋体" w:eastAsia="宋体" w:cs="宋体"/>
          <w:b/>
          <w:bCs/>
          <w:sz w:val="21"/>
          <w:szCs w:val="21"/>
        </w:rPr>
      </w:pPr>
      <w:bookmarkStart w:id="404" w:name="_Toc989293"/>
      <w:r>
        <w:rPr>
          <w:rFonts w:ascii="宋体" w:hAnsi="宋体" w:eastAsia="宋体" w:cs="宋体"/>
          <w:b/>
          <w:bCs/>
          <w:sz w:val="21"/>
          <w:szCs w:val="21"/>
        </w:rPr>
        <w:t>（1） 本公司作为承租方</w:t>
      </w:r>
      <w:bookmarkEnd w:id="404"/>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21"/>
          <w:szCs w:val="21"/>
        </w:rPr>
      </w:pPr>
      <w:bookmarkStart w:id="405" w:name="_Toc989294"/>
      <w:r>
        <w:rPr>
          <w:rFonts w:ascii="宋体" w:hAnsi="宋体" w:eastAsia="宋体" w:cs="宋体"/>
          <w:b/>
          <w:bCs/>
          <w:sz w:val="21"/>
          <w:szCs w:val="21"/>
        </w:rPr>
        <w:t>（2） 本公司作为出租方</w:t>
      </w:r>
      <w:bookmarkEnd w:id="405"/>
    </w:p>
    <w:p>
      <w:pPr>
        <w:spacing w:before="100" w:after="100" w:line="240" w:lineRule="exact"/>
        <w:jc w:val="left"/>
        <w:rPr>
          <w:rFonts w:ascii="宋体" w:hAnsi="宋体" w:eastAsia="宋体" w:cs="宋体"/>
          <w:sz w:val="18"/>
          <w:szCs w:val="18"/>
        </w:rPr>
      </w:pPr>
      <w:r>
        <w:rPr>
          <w:rFonts w:ascii="宋体" w:hAnsi="宋体" w:eastAsia="宋体" w:cs="宋体"/>
          <w:sz w:val="18"/>
          <w:szCs w:val="18"/>
        </w:rPr>
        <w:t>作为出租人的经营租赁</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作为出租人的融资租赁</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未来五年每年未折现租赁收款额</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未折现租赁收款额与租赁投资净额的调节表</w:t>
      </w:r>
    </w:p>
    <w:p>
      <w:pPr>
        <w:keepNext/>
        <w:keepLines/>
        <w:spacing w:before="300" w:after="300" w:line="280" w:lineRule="exact"/>
        <w:jc w:val="left"/>
        <w:outlineLvl w:val="3"/>
        <w:rPr>
          <w:rFonts w:ascii="宋体" w:hAnsi="宋体" w:eastAsia="宋体" w:cs="宋体"/>
          <w:b/>
          <w:bCs/>
          <w:sz w:val="21"/>
          <w:szCs w:val="21"/>
        </w:rPr>
      </w:pPr>
      <w:bookmarkStart w:id="406" w:name="_Toc989295"/>
      <w:r>
        <w:rPr>
          <w:rFonts w:ascii="宋体" w:hAnsi="宋体" w:eastAsia="宋体" w:cs="宋体"/>
          <w:b/>
          <w:bCs/>
          <w:sz w:val="21"/>
          <w:szCs w:val="21"/>
        </w:rPr>
        <w:t>（3） 作为生产商或经销商确认融资租赁销售损益</w:t>
      </w:r>
      <w:bookmarkEnd w:id="406"/>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407" w:name="_Toc989296"/>
      <w:r>
        <w:rPr>
          <w:rFonts w:ascii="宋体" w:hAnsi="宋体" w:eastAsia="宋体" w:cs="宋体"/>
          <w:b/>
          <w:bCs/>
          <w:sz w:val="21"/>
          <w:szCs w:val="21"/>
        </w:rPr>
        <w:t>83、数据资源</w:t>
      </w:r>
      <w:bookmarkEnd w:id="407"/>
    </w:p>
    <w:p>
      <w:pPr>
        <w:keepNext/>
        <w:keepLines/>
        <w:spacing w:before="300" w:after="300" w:line="280" w:lineRule="exact"/>
        <w:jc w:val="left"/>
        <w:outlineLvl w:val="2"/>
        <w:rPr>
          <w:rFonts w:ascii="宋体" w:hAnsi="宋体" w:eastAsia="宋体" w:cs="宋体"/>
          <w:b/>
          <w:bCs/>
          <w:sz w:val="21"/>
          <w:szCs w:val="21"/>
        </w:rPr>
      </w:pPr>
      <w:bookmarkStart w:id="408" w:name="_Toc989297"/>
      <w:r>
        <w:rPr>
          <w:rFonts w:ascii="宋体" w:hAnsi="宋体" w:eastAsia="宋体" w:cs="宋体"/>
          <w:b/>
          <w:bCs/>
          <w:sz w:val="21"/>
          <w:szCs w:val="21"/>
        </w:rPr>
        <w:t>84、其他</w:t>
      </w:r>
      <w:bookmarkEnd w:id="408"/>
    </w:p>
    <w:p>
      <w:pPr>
        <w:keepNext/>
        <w:keepLines/>
        <w:spacing w:before="300" w:after="300" w:line="320" w:lineRule="exact"/>
        <w:jc w:val="left"/>
        <w:outlineLvl w:val="1"/>
        <w:rPr>
          <w:rFonts w:ascii="宋体" w:hAnsi="宋体" w:eastAsia="宋体" w:cs="宋体"/>
          <w:b/>
          <w:bCs/>
          <w:sz w:val="24"/>
          <w:szCs w:val="24"/>
        </w:rPr>
      </w:pPr>
      <w:bookmarkStart w:id="409" w:name="_Toc989298"/>
      <w:r>
        <w:rPr>
          <w:rFonts w:ascii="宋体" w:hAnsi="宋体" w:eastAsia="宋体" w:cs="宋体"/>
          <w:b/>
          <w:bCs/>
          <w:sz w:val="24"/>
          <w:szCs w:val="24"/>
        </w:rPr>
        <w:t>八、研发支出</w:t>
      </w:r>
      <w:bookmarkEnd w:id="40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人员人工费用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5,222,618.90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12,213,360.30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研发相关固定资产维护费用支出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534,877.77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1,292,264.87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折旧费用与长期待摊费用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3,749,709.24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992,020.25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委托外部研究开发费用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97,345.13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965,514.14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269,020.87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10,570,065.18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14,766,666.29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其中：费用化研发支出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10,544,512.43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14,736,003.00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资本化研发支出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25,552.75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30,663.29</w:t>
            </w:r>
          </w:p>
        </w:tc>
      </w:tr>
    </w:tbl>
    <w:p>
      <w:pPr>
        <w:keepNext/>
        <w:keepLines/>
        <w:spacing w:before="300" w:after="300" w:line="280" w:lineRule="exact"/>
        <w:jc w:val="left"/>
        <w:outlineLvl w:val="2"/>
        <w:rPr>
          <w:rFonts w:ascii="宋体" w:hAnsi="宋体" w:eastAsia="宋体" w:cs="宋体"/>
          <w:b/>
          <w:bCs/>
          <w:sz w:val="21"/>
          <w:szCs w:val="21"/>
        </w:rPr>
      </w:pPr>
      <w:bookmarkStart w:id="410" w:name="_Toc989299"/>
      <w:r>
        <w:rPr>
          <w:rFonts w:ascii="宋体" w:hAnsi="宋体" w:eastAsia="宋体" w:cs="宋体"/>
          <w:b/>
          <w:bCs/>
          <w:sz w:val="21"/>
          <w:szCs w:val="21"/>
        </w:rPr>
        <w:t>1、符合资本化条件的研发项目</w:t>
      </w:r>
      <w:bookmarkEnd w:id="41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3213"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本期增加金额</w:t>
            </w:r>
          </w:p>
        </w:tc>
        <w:tc>
          <w:tcPr>
            <w:tcW w:w="3213"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本期减少金额</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内部开发支出</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确认为无形资产</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转入当期损益</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基于柔性直流的智能微网系统研究与应用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4,719,683.13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4,719,683.13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风力发电机组叶尖延长技术研究及应用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2,792,845.22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25,552.75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830,088.50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1,988,309.47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数字化协同运维管控技术在新型少人值守光伏场站的应用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2,340,628.67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2,340,628.67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新能源场站地质灾害遥感监测系统</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2,318,446.63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2,318,446.63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技改及其他项目</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9,593,429.41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9,593,429.41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21,765,033.06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25,552.75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830,088.50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20,960,497.31</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重要的资本化研发项目</w:t>
      </w:r>
    </w:p>
    <w:p>
      <w:pPr>
        <w:spacing w:before="0" w:after="0" w:line="0" w:lineRule="exact"/>
        <w:jc w:val="left"/>
      </w:pP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研发进度</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预计完成时间</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预计经济利益产生方式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开始资本化的时点</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开始资本化的具体依据</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开发支出减值准备</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减值测试情况</w:t>
            </w:r>
          </w:p>
        </w:tc>
      </w:tr>
    </w:tbl>
    <w:p>
      <w:pPr>
        <w:keepNext/>
        <w:keepLines/>
        <w:spacing w:before="300" w:after="300" w:line="280" w:lineRule="exact"/>
        <w:jc w:val="left"/>
        <w:outlineLvl w:val="2"/>
        <w:rPr>
          <w:rFonts w:ascii="宋体" w:hAnsi="宋体" w:eastAsia="宋体" w:cs="宋体"/>
          <w:b/>
          <w:bCs/>
          <w:sz w:val="21"/>
          <w:szCs w:val="21"/>
        </w:rPr>
      </w:pPr>
      <w:bookmarkStart w:id="411" w:name="_Toc989300"/>
      <w:r>
        <w:rPr>
          <w:rFonts w:ascii="宋体" w:hAnsi="宋体" w:eastAsia="宋体" w:cs="宋体"/>
          <w:b/>
          <w:bCs/>
          <w:sz w:val="21"/>
          <w:szCs w:val="21"/>
        </w:rPr>
        <w:t>2、重要外购在研项目</w:t>
      </w:r>
      <w:bookmarkEnd w:id="411"/>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项目名称</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预期产生经济利益的方式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资本化或费用化的判断标准和具体依据</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320" w:lineRule="exact"/>
        <w:jc w:val="left"/>
        <w:outlineLvl w:val="1"/>
        <w:rPr>
          <w:rFonts w:ascii="宋体" w:hAnsi="宋体" w:eastAsia="宋体" w:cs="宋体"/>
          <w:b/>
          <w:bCs/>
          <w:sz w:val="24"/>
          <w:szCs w:val="24"/>
        </w:rPr>
      </w:pPr>
      <w:bookmarkStart w:id="412" w:name="_Toc989301"/>
      <w:r>
        <w:rPr>
          <w:rFonts w:ascii="宋体" w:hAnsi="宋体" w:eastAsia="宋体" w:cs="宋体"/>
          <w:b/>
          <w:bCs/>
          <w:sz w:val="24"/>
          <w:szCs w:val="24"/>
        </w:rPr>
        <w:t>九、合并范围的变更</w:t>
      </w:r>
      <w:bookmarkEnd w:id="412"/>
    </w:p>
    <w:p>
      <w:pPr>
        <w:keepNext/>
        <w:keepLines/>
        <w:spacing w:before="300" w:after="300" w:line="280" w:lineRule="exact"/>
        <w:jc w:val="left"/>
        <w:outlineLvl w:val="2"/>
        <w:rPr>
          <w:rFonts w:ascii="宋体" w:hAnsi="宋体" w:eastAsia="宋体" w:cs="宋体"/>
          <w:b/>
          <w:bCs/>
          <w:sz w:val="21"/>
          <w:szCs w:val="21"/>
        </w:rPr>
      </w:pPr>
      <w:bookmarkStart w:id="413" w:name="_Toc989302"/>
      <w:r>
        <w:rPr>
          <w:rFonts w:ascii="宋体" w:hAnsi="宋体" w:eastAsia="宋体" w:cs="宋体"/>
          <w:b/>
          <w:bCs/>
          <w:sz w:val="21"/>
          <w:szCs w:val="21"/>
        </w:rPr>
        <w:t>1、非同一控制下企业合并</w:t>
      </w:r>
      <w:bookmarkEnd w:id="413"/>
    </w:p>
    <w:p>
      <w:pPr>
        <w:keepNext/>
        <w:keepLines/>
        <w:spacing w:before="300" w:after="300" w:line="280" w:lineRule="exact"/>
        <w:jc w:val="left"/>
        <w:outlineLvl w:val="3"/>
        <w:rPr>
          <w:rFonts w:ascii="宋体" w:hAnsi="宋体" w:eastAsia="宋体" w:cs="宋体"/>
          <w:b/>
          <w:bCs/>
          <w:sz w:val="18"/>
          <w:szCs w:val="18"/>
        </w:rPr>
      </w:pPr>
      <w:bookmarkStart w:id="414" w:name="_Toc989303"/>
      <w:r>
        <w:rPr>
          <w:rFonts w:ascii="宋体" w:hAnsi="宋体" w:eastAsia="宋体" w:cs="宋体"/>
          <w:b/>
          <w:bCs/>
          <w:sz w:val="18"/>
          <w:szCs w:val="18"/>
        </w:rPr>
        <w:t>（1） 本期发生的非同一控制下企业合并</w:t>
      </w:r>
      <w:bookmarkEnd w:id="41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4"/>
        <w:gridCol w:w="964"/>
        <w:gridCol w:w="964"/>
        <w:gridCol w:w="964"/>
        <w:gridCol w:w="964"/>
        <w:gridCol w:w="964"/>
        <w:gridCol w:w="964"/>
        <w:gridCol w:w="964"/>
        <w:gridCol w:w="964"/>
        <w:gridCol w:w="9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被购买方名称</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股权取得时点</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股权取得成本</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股权取得比例</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股权取得方式</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购买日</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购买日的确定依据</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购买日至期末被购买方的收入</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购买日至期末被购买方的净利润</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购买日至期末被购买方的现金流</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415" w:name="_Toc989304"/>
      <w:r>
        <w:rPr>
          <w:rFonts w:ascii="宋体" w:hAnsi="宋体" w:eastAsia="宋体" w:cs="宋体"/>
          <w:b/>
          <w:bCs/>
          <w:sz w:val="18"/>
          <w:szCs w:val="18"/>
        </w:rPr>
        <w:t>（2） 合并成本及商誉</w:t>
      </w:r>
      <w:bookmarkEnd w:id="41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合并成本</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--现金</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--非现金资产的公允价值</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--发行或承担的债务的公允价值</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--发行的权益性证券的公允价值</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--或有对价的公允价值</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--购买日之前持有的股权于购买日的公允价值</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合并成本合计</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减：取得的可辨认净资产公允价值份额</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商誉/合并成本小于取得的可辨认净资产公允价值份额的金额</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合并成本公允价值的确定方法：</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或有对价及其变动的说明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大额商誉形成的主要原因：</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416" w:name="_Toc989305"/>
      <w:r>
        <w:rPr>
          <w:rFonts w:ascii="宋体" w:hAnsi="宋体" w:eastAsia="宋体" w:cs="宋体"/>
          <w:b/>
          <w:bCs/>
          <w:sz w:val="18"/>
          <w:szCs w:val="18"/>
        </w:rPr>
        <w:t>（3） 被购买方于购买日可辨认资产、负债</w:t>
      </w:r>
      <w:bookmarkEnd w:id="41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trHeight w:val="240" w:hRule="atLeast"/>
        </w:trPr>
        <w:tc>
          <w:tcPr>
            <w:tcW w:w="321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6426"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购买日公允价值</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购买日账面价值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货币资金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应收款项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存货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固定资产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无形资产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应付款项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递延所得税负债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净资产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减：少数股东权益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取得的净资产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可辨认资产、负债公允价值的确定方法：</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企业合并中承担的被购买方的或有负债：</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417" w:name="_Toc989306"/>
      <w:r>
        <w:rPr>
          <w:rFonts w:ascii="宋体" w:hAnsi="宋体" w:eastAsia="宋体" w:cs="宋体"/>
          <w:b/>
          <w:bCs/>
          <w:sz w:val="18"/>
          <w:szCs w:val="18"/>
        </w:rPr>
        <w:t>（4） 购买日之前持有的股权按照公允价值重新计量产生的利得或损失</w:t>
      </w:r>
      <w:bookmarkEnd w:id="417"/>
    </w:p>
    <w:p>
      <w:pPr>
        <w:spacing w:before="40" w:after="40" w:line="240" w:lineRule="exact"/>
        <w:jc w:val="left"/>
        <w:rPr>
          <w:rFonts w:ascii="宋体" w:hAnsi="宋体" w:eastAsia="宋体" w:cs="宋体"/>
          <w:sz w:val="18"/>
          <w:szCs w:val="18"/>
        </w:rPr>
      </w:pPr>
      <w:r>
        <w:rPr>
          <w:rFonts w:ascii="宋体" w:hAnsi="宋体" w:eastAsia="宋体" w:cs="宋体"/>
          <w:sz w:val="18"/>
          <w:szCs w:val="18"/>
        </w:rPr>
        <w:t>是否存在通过多次交易分步实现企业合并且在报告期内取得控制权的交易</w:t>
      </w:r>
    </w:p>
    <w:p>
      <w:pPr>
        <w:spacing w:before="0" w:after="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pPr>
        <w:keepNext/>
        <w:keepLines/>
        <w:spacing w:before="300" w:after="300" w:line="280" w:lineRule="exact"/>
        <w:jc w:val="left"/>
        <w:outlineLvl w:val="3"/>
        <w:rPr>
          <w:rFonts w:ascii="宋体" w:hAnsi="宋体" w:eastAsia="宋体" w:cs="宋体"/>
          <w:b/>
          <w:bCs/>
          <w:sz w:val="18"/>
          <w:szCs w:val="18"/>
        </w:rPr>
      </w:pPr>
      <w:bookmarkStart w:id="418" w:name="_Toc989307"/>
      <w:r>
        <w:rPr>
          <w:rFonts w:ascii="宋体" w:hAnsi="宋体" w:eastAsia="宋体" w:cs="宋体"/>
          <w:b/>
          <w:bCs/>
          <w:sz w:val="18"/>
          <w:szCs w:val="18"/>
        </w:rPr>
        <w:t>（5） 购买日或合并当期期末无法合理确定合并对价或被购买方可辨认资产、负债公允价值的相关说明</w:t>
      </w:r>
      <w:bookmarkEnd w:id="418"/>
    </w:p>
    <w:p>
      <w:pPr>
        <w:keepNext/>
        <w:keepLines/>
        <w:spacing w:before="300" w:after="300" w:line="280" w:lineRule="exact"/>
        <w:jc w:val="left"/>
        <w:outlineLvl w:val="3"/>
        <w:rPr>
          <w:rFonts w:ascii="宋体" w:hAnsi="宋体" w:eastAsia="宋体" w:cs="宋体"/>
          <w:b/>
          <w:bCs/>
          <w:sz w:val="18"/>
          <w:szCs w:val="18"/>
        </w:rPr>
      </w:pPr>
      <w:bookmarkStart w:id="419" w:name="_Toc989308"/>
      <w:r>
        <w:rPr>
          <w:rFonts w:ascii="宋体" w:hAnsi="宋体" w:eastAsia="宋体" w:cs="宋体"/>
          <w:b/>
          <w:bCs/>
          <w:sz w:val="18"/>
          <w:szCs w:val="18"/>
        </w:rPr>
        <w:t>（6） 其他说明</w:t>
      </w:r>
      <w:bookmarkEnd w:id="419"/>
    </w:p>
    <w:p>
      <w:pPr>
        <w:keepNext/>
        <w:keepLines/>
        <w:spacing w:before="300" w:after="300" w:line="280" w:lineRule="exact"/>
        <w:jc w:val="left"/>
        <w:outlineLvl w:val="2"/>
        <w:rPr>
          <w:rFonts w:ascii="宋体" w:hAnsi="宋体" w:eastAsia="宋体" w:cs="宋体"/>
          <w:b/>
          <w:bCs/>
          <w:sz w:val="21"/>
          <w:szCs w:val="21"/>
        </w:rPr>
      </w:pPr>
      <w:bookmarkStart w:id="420" w:name="_Toc989309"/>
      <w:r>
        <w:rPr>
          <w:rFonts w:ascii="宋体" w:hAnsi="宋体" w:eastAsia="宋体" w:cs="宋体"/>
          <w:b/>
          <w:bCs/>
          <w:sz w:val="21"/>
          <w:szCs w:val="21"/>
        </w:rPr>
        <w:t>2、同一控制下企业合并</w:t>
      </w:r>
      <w:bookmarkEnd w:id="420"/>
    </w:p>
    <w:p>
      <w:pPr>
        <w:keepNext/>
        <w:keepLines/>
        <w:spacing w:before="300" w:after="300" w:line="280" w:lineRule="exact"/>
        <w:jc w:val="left"/>
        <w:outlineLvl w:val="3"/>
        <w:rPr>
          <w:rFonts w:ascii="宋体" w:hAnsi="宋体" w:eastAsia="宋体" w:cs="宋体"/>
          <w:b/>
          <w:bCs/>
          <w:sz w:val="18"/>
          <w:szCs w:val="18"/>
        </w:rPr>
      </w:pPr>
      <w:bookmarkStart w:id="421" w:name="_Toc989310"/>
      <w:r>
        <w:rPr>
          <w:rFonts w:ascii="宋体" w:hAnsi="宋体" w:eastAsia="宋体" w:cs="宋体"/>
          <w:b/>
          <w:bCs/>
          <w:sz w:val="18"/>
          <w:szCs w:val="18"/>
        </w:rPr>
        <w:t>（1） 本期发生的同一控制下企业合并</w:t>
      </w:r>
      <w:bookmarkEnd w:id="42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被合并方名称</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企业合并中取得的权益比例</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构成同一控制下企业合并的依据</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合并日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合并日的确定依据</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合并当期期初至合并日被合并方的收入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合并当期期初至合并日被合并方的净利润</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比较期间被合并方的收入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比较期间被合并方的净利润</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422" w:name="_Toc989311"/>
      <w:r>
        <w:rPr>
          <w:rFonts w:ascii="宋体" w:hAnsi="宋体" w:eastAsia="宋体" w:cs="宋体"/>
          <w:b/>
          <w:bCs/>
          <w:sz w:val="18"/>
          <w:szCs w:val="18"/>
        </w:rPr>
        <w:t>（2） 合并成本</w:t>
      </w:r>
      <w:bookmarkEnd w:id="42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合并成本</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--现金</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--非现金资产的账面价值</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--发行或承担的债务的账面价值</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--发行的权益性证券的面值</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--或有对价</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或有对价及其变动的说明：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423" w:name="_Toc989312"/>
      <w:r>
        <w:rPr>
          <w:rFonts w:ascii="宋体" w:hAnsi="宋体" w:eastAsia="宋体" w:cs="宋体"/>
          <w:b/>
          <w:bCs/>
          <w:sz w:val="18"/>
          <w:szCs w:val="18"/>
        </w:rPr>
        <w:t>（3） 合并日被合并方资产、负债的账面价值</w:t>
      </w:r>
      <w:bookmarkEnd w:id="42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6426"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合并日</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上期期末</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货币资金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应收款项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存货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固定资产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无形资产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应付款项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净资产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减：少数股东权益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取得的净资产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企业合并中承担的被合并方的或有负债：</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424" w:name="_Toc989313"/>
      <w:r>
        <w:rPr>
          <w:rFonts w:ascii="宋体" w:hAnsi="宋体" w:eastAsia="宋体" w:cs="宋体"/>
          <w:b/>
          <w:bCs/>
          <w:sz w:val="21"/>
          <w:szCs w:val="21"/>
        </w:rPr>
        <w:t>3、反向购买</w:t>
      </w:r>
      <w:bookmarkEnd w:id="424"/>
    </w:p>
    <w:p>
      <w:pPr>
        <w:spacing w:before="100" w:after="100" w:line="240" w:lineRule="exact"/>
        <w:jc w:val="left"/>
        <w:rPr>
          <w:rFonts w:ascii="宋体" w:hAnsi="宋体" w:eastAsia="宋体" w:cs="宋体"/>
          <w:sz w:val="18"/>
          <w:szCs w:val="18"/>
        </w:rPr>
      </w:pPr>
      <w:r>
        <w:rPr>
          <w:rFonts w:ascii="宋体" w:hAnsi="宋体" w:eastAsia="宋体" w:cs="宋体"/>
          <w:sz w:val="18"/>
          <w:szCs w:val="18"/>
        </w:rPr>
        <w:t>交易基本信息、交易构成反向购买的依据、上市公司保留的资产、负债是否构成业务及其依据、合并成本的确定、按照权益性交易处理时调整权益的金额及其计算：</w:t>
      </w:r>
    </w:p>
    <w:p>
      <w:pPr>
        <w:keepNext/>
        <w:keepLines/>
        <w:spacing w:before="300" w:after="300" w:line="280" w:lineRule="exact"/>
        <w:jc w:val="left"/>
        <w:outlineLvl w:val="2"/>
        <w:rPr>
          <w:rFonts w:ascii="宋体" w:hAnsi="宋体" w:eastAsia="宋体" w:cs="宋体"/>
          <w:b/>
          <w:bCs/>
          <w:sz w:val="21"/>
          <w:szCs w:val="21"/>
        </w:rPr>
      </w:pPr>
      <w:bookmarkStart w:id="425" w:name="_Toc989314"/>
      <w:r>
        <w:rPr>
          <w:rFonts w:ascii="宋体" w:hAnsi="宋体" w:eastAsia="宋体" w:cs="宋体"/>
          <w:b/>
          <w:bCs/>
          <w:sz w:val="21"/>
          <w:szCs w:val="21"/>
        </w:rPr>
        <w:t>4、处置子公司</w:t>
      </w:r>
      <w:bookmarkEnd w:id="425"/>
    </w:p>
    <w:p>
      <w:pPr>
        <w:spacing w:before="100" w:after="100" w:line="240" w:lineRule="exact"/>
        <w:jc w:val="left"/>
        <w:rPr>
          <w:rFonts w:ascii="宋体" w:hAnsi="宋体" w:eastAsia="宋体" w:cs="宋体"/>
          <w:sz w:val="18"/>
          <w:szCs w:val="18"/>
        </w:rPr>
      </w:pPr>
      <w:r>
        <w:rPr>
          <w:rFonts w:ascii="宋体" w:hAnsi="宋体" w:eastAsia="宋体" w:cs="宋体"/>
          <w:sz w:val="18"/>
          <w:szCs w:val="18"/>
        </w:rPr>
        <w:t>本期是否存在丧失子公司控制权的交易或事项</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是否存在通过多次交易分步处置对子公司投资且在本期丧失控制权的情形</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pPr>
        <w:keepNext/>
        <w:keepLines/>
        <w:spacing w:before="300" w:after="300" w:line="280" w:lineRule="exact"/>
        <w:jc w:val="left"/>
        <w:outlineLvl w:val="2"/>
        <w:rPr>
          <w:rFonts w:ascii="宋体" w:hAnsi="宋体" w:eastAsia="宋体" w:cs="宋体"/>
          <w:b/>
          <w:bCs/>
          <w:sz w:val="21"/>
          <w:szCs w:val="21"/>
        </w:rPr>
      </w:pPr>
      <w:bookmarkStart w:id="426" w:name="_Toc989315"/>
      <w:r>
        <w:rPr>
          <w:rFonts w:ascii="宋体" w:hAnsi="宋体" w:eastAsia="宋体" w:cs="宋体"/>
          <w:b/>
          <w:bCs/>
          <w:sz w:val="21"/>
          <w:szCs w:val="21"/>
        </w:rPr>
        <w:t>5、其他原因的合并范围变动</w:t>
      </w:r>
      <w:bookmarkEnd w:id="426"/>
    </w:p>
    <w:p>
      <w:pPr>
        <w:spacing w:before="100" w:after="100" w:line="240" w:lineRule="exact"/>
        <w:jc w:val="left"/>
        <w:rPr>
          <w:rFonts w:ascii="宋体" w:hAnsi="宋体" w:eastAsia="宋体" w:cs="宋体"/>
          <w:sz w:val="18"/>
          <w:szCs w:val="18"/>
        </w:rPr>
      </w:pPr>
      <w:r>
        <w:rPr>
          <w:rFonts w:ascii="宋体" w:hAnsi="宋体" w:eastAsia="宋体" w:cs="宋体"/>
          <w:sz w:val="18"/>
          <w:szCs w:val="18"/>
        </w:rPr>
        <w:t>说明其他原因导致的合并范围变动（如，新设子公司、清算子公司等）及其相关情况：</w:t>
      </w:r>
    </w:p>
    <w:p>
      <w:pPr>
        <w:pStyle w:val="2"/>
        <w:keepNext w:val="0"/>
        <w:keepLines w:val="0"/>
        <w:widowControl/>
        <w:suppressLineNumbers w:val="0"/>
        <w:spacing w:before="100" w:beforeAutospacing="0" w:after="100" w:afterAutospacing="0" w:line="360" w:lineRule="auto"/>
        <w:ind w:left="0" w:firstLine="420"/>
        <w:jc w:val="both"/>
        <w:rPr>
          <w:rFonts w:hint="eastAsia" w:ascii="宋体" w:hAnsi="宋体" w:eastAsia="宋体" w:cs="宋体"/>
          <w:b/>
          <w:sz w:val="27"/>
          <w:szCs w:val="27"/>
        </w:rPr>
      </w:pPr>
      <w:r>
        <w:rPr>
          <w:rFonts w:hint="eastAsia" w:ascii="宋体" w:hAnsi="宋体" w:eastAsia="宋体" w:cs="宋体"/>
          <w:color w:val="000000"/>
          <w:sz w:val="18"/>
          <w:szCs w:val="18"/>
        </w:rPr>
        <w:t>1. 新设子公司</w:t>
      </w:r>
    </w:p>
    <w:tbl>
      <w:tblPr>
        <w:tblStyle w:val="6"/>
        <w:tblW w:w="985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958"/>
        <w:gridCol w:w="1959"/>
        <w:gridCol w:w="1959"/>
        <w:gridCol w:w="2002"/>
        <w:gridCol w:w="197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trPr>
        <w:tc>
          <w:tcPr>
            <w:tcW w:w="19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公司名称</w:t>
            </w:r>
          </w:p>
        </w:tc>
        <w:tc>
          <w:tcPr>
            <w:tcW w:w="195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股权取得方式</w:t>
            </w:r>
          </w:p>
        </w:tc>
        <w:tc>
          <w:tcPr>
            <w:tcW w:w="195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股权取得时点</w:t>
            </w:r>
          </w:p>
        </w:tc>
        <w:tc>
          <w:tcPr>
            <w:tcW w:w="200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出资额</w:t>
            </w:r>
          </w:p>
        </w:tc>
        <w:tc>
          <w:tcPr>
            <w:tcW w:w="197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出资比例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trPr>
        <w:tc>
          <w:tcPr>
            <w:tcW w:w="195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ind w:left="0" w:right="0"/>
              <w:jc w:val="both"/>
              <w:textAlignment w:val="top"/>
              <w:rPr>
                <w:rFonts w:hint="default" w:ascii="Times New Roman" w:hAnsi="Times New Roman" w:cs="Times New Roman"/>
                <w:sz w:val="21"/>
                <w:szCs w:val="21"/>
              </w:rPr>
            </w:pPr>
            <w:r>
              <w:rPr>
                <w:rFonts w:hint="eastAsia" w:ascii="宋体" w:hAnsi="宋体" w:eastAsia="宋体" w:cs="宋体"/>
                <w:i w:val="0"/>
                <w:color w:val="000000"/>
                <w:sz w:val="18"/>
                <w:szCs w:val="18"/>
              </w:rPr>
              <w:t>眉山吉乾能源有限公司</w:t>
            </w:r>
          </w:p>
        </w:tc>
        <w:tc>
          <w:tcPr>
            <w:tcW w:w="19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投资设立</w:t>
            </w:r>
          </w:p>
        </w:tc>
        <w:tc>
          <w:tcPr>
            <w:tcW w:w="19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2024/2/1</w:t>
            </w:r>
          </w:p>
        </w:tc>
        <w:tc>
          <w:tcPr>
            <w:tcW w:w="20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i w:val="0"/>
                <w:color w:val="000000"/>
                <w:sz w:val="18"/>
                <w:szCs w:val="18"/>
              </w:rPr>
              <w:t>1,050,000.00</w:t>
            </w:r>
          </w:p>
        </w:tc>
        <w:tc>
          <w:tcPr>
            <w:tcW w:w="19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50.00%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454" w:hRule="atLeast"/>
        </w:trPr>
        <w:tc>
          <w:tcPr>
            <w:tcW w:w="195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ind w:left="0" w:right="0"/>
              <w:jc w:val="both"/>
              <w:textAlignment w:val="top"/>
              <w:rPr>
                <w:rFonts w:hint="default" w:ascii="Times New Roman" w:hAnsi="Times New Roman" w:cs="Times New Roman"/>
                <w:sz w:val="21"/>
                <w:szCs w:val="21"/>
              </w:rPr>
            </w:pPr>
            <w:r>
              <w:rPr>
                <w:rFonts w:hint="eastAsia" w:ascii="宋体" w:hAnsi="宋体" w:eastAsia="宋体" w:cs="宋体"/>
                <w:i w:val="0"/>
                <w:color w:val="000000"/>
                <w:sz w:val="18"/>
                <w:szCs w:val="18"/>
              </w:rPr>
              <w:t>上海吉远绿色能源有限公司</w:t>
            </w:r>
          </w:p>
        </w:tc>
        <w:tc>
          <w:tcPr>
            <w:tcW w:w="19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投资设立</w:t>
            </w:r>
          </w:p>
        </w:tc>
        <w:tc>
          <w:tcPr>
            <w:tcW w:w="19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2024/5/13</w:t>
            </w:r>
          </w:p>
        </w:tc>
        <w:tc>
          <w:tcPr>
            <w:tcW w:w="20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i w:val="0"/>
                <w:color w:val="000000"/>
                <w:sz w:val="18"/>
                <w:szCs w:val="18"/>
              </w:rPr>
              <w:t>5,500,000.00</w:t>
            </w:r>
          </w:p>
        </w:tc>
        <w:tc>
          <w:tcPr>
            <w:tcW w:w="19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55.00%</w:t>
            </w:r>
          </w:p>
        </w:tc>
      </w:tr>
    </w:tbl>
    <w:p>
      <w:pPr>
        <w:keepNext/>
        <w:keepLines/>
        <w:spacing w:before="300" w:after="300" w:line="280" w:lineRule="exact"/>
        <w:jc w:val="left"/>
        <w:outlineLvl w:val="2"/>
        <w:rPr>
          <w:rFonts w:ascii="宋体" w:hAnsi="宋体" w:eastAsia="宋体" w:cs="宋体"/>
          <w:b/>
          <w:bCs/>
          <w:sz w:val="21"/>
          <w:szCs w:val="21"/>
        </w:rPr>
      </w:pPr>
      <w:bookmarkStart w:id="427" w:name="_Toc989316"/>
      <w:r>
        <w:rPr>
          <w:rFonts w:ascii="宋体" w:hAnsi="宋体" w:eastAsia="宋体" w:cs="宋体"/>
          <w:b/>
          <w:bCs/>
          <w:sz w:val="21"/>
          <w:szCs w:val="21"/>
        </w:rPr>
        <w:t>6、其他</w:t>
      </w:r>
      <w:bookmarkEnd w:id="427"/>
    </w:p>
    <w:p>
      <w:pPr>
        <w:keepNext/>
        <w:keepLines/>
        <w:spacing w:before="300" w:after="300" w:line="320" w:lineRule="exact"/>
        <w:jc w:val="left"/>
        <w:outlineLvl w:val="1"/>
        <w:rPr>
          <w:rFonts w:ascii="宋体" w:hAnsi="宋体" w:eastAsia="宋体" w:cs="宋体"/>
          <w:b/>
          <w:bCs/>
          <w:sz w:val="24"/>
          <w:szCs w:val="24"/>
        </w:rPr>
      </w:pPr>
      <w:bookmarkStart w:id="428" w:name="_Toc989317"/>
      <w:r>
        <w:rPr>
          <w:rFonts w:ascii="宋体" w:hAnsi="宋体" w:eastAsia="宋体" w:cs="宋体"/>
          <w:b/>
          <w:bCs/>
          <w:sz w:val="24"/>
          <w:szCs w:val="24"/>
        </w:rPr>
        <w:t>十、在其他主体中的权益</w:t>
      </w:r>
      <w:bookmarkEnd w:id="428"/>
    </w:p>
    <w:p>
      <w:pPr>
        <w:keepNext/>
        <w:keepLines/>
        <w:spacing w:before="300" w:after="300" w:line="280" w:lineRule="exact"/>
        <w:jc w:val="left"/>
        <w:outlineLvl w:val="2"/>
        <w:rPr>
          <w:rFonts w:ascii="宋体" w:hAnsi="宋体" w:eastAsia="宋体" w:cs="宋体"/>
          <w:b/>
          <w:bCs/>
          <w:sz w:val="21"/>
          <w:szCs w:val="21"/>
        </w:rPr>
      </w:pPr>
      <w:bookmarkStart w:id="429" w:name="_Toc989318"/>
      <w:r>
        <w:rPr>
          <w:rFonts w:ascii="宋体" w:hAnsi="宋体" w:eastAsia="宋体" w:cs="宋体"/>
          <w:b/>
          <w:bCs/>
          <w:sz w:val="21"/>
          <w:szCs w:val="21"/>
        </w:rPr>
        <w:t>1、在子公司中的权益</w:t>
      </w:r>
      <w:bookmarkEnd w:id="429"/>
    </w:p>
    <w:p>
      <w:pPr>
        <w:keepNext/>
        <w:keepLines/>
        <w:spacing w:before="300" w:after="300" w:line="280" w:lineRule="exact"/>
        <w:jc w:val="left"/>
        <w:outlineLvl w:val="3"/>
        <w:rPr>
          <w:rFonts w:ascii="宋体" w:hAnsi="宋体" w:eastAsia="宋体" w:cs="宋体"/>
          <w:b/>
          <w:bCs/>
          <w:sz w:val="18"/>
          <w:szCs w:val="18"/>
        </w:rPr>
      </w:pPr>
      <w:bookmarkStart w:id="430" w:name="_Toc989319"/>
      <w:r>
        <w:rPr>
          <w:rFonts w:ascii="宋体" w:hAnsi="宋体" w:eastAsia="宋体" w:cs="宋体"/>
          <w:b/>
          <w:bCs/>
          <w:sz w:val="18"/>
          <w:szCs w:val="18"/>
        </w:rPr>
        <w:t>（1） 企业集团的构成</w:t>
      </w:r>
      <w:bookmarkEnd w:id="43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5"/>
        <w:gridCol w:w="1205"/>
        <w:gridCol w:w="1205"/>
        <w:gridCol w:w="1205"/>
        <w:gridCol w:w="1205"/>
        <w:gridCol w:w="1205"/>
        <w:gridCol w:w="1205"/>
        <w:gridCol w:w="12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子公司名称</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注册资本</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主要经营地</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注册地</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业务性质</w:t>
            </w:r>
          </w:p>
        </w:tc>
        <w:tc>
          <w:tcPr>
            <w:tcW w:w="2410"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持股比例</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取得方式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vMerge w:val="continue"/>
            <w:tcBorders>
              <w:top w:val="single" w:color="auto" w:sz="2" w:space="0"/>
              <w:left w:val="single" w:color="auto" w:sz="2" w:space="0"/>
              <w:bottom w:val="single" w:color="auto" w:sz="2" w:space="0"/>
              <w:right w:val="single" w:color="auto" w:sz="2" w:space="0"/>
            </w:tcBorders>
            <w:vAlign w:val="center"/>
          </w:tc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直接</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间接</w:t>
            </w: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吉林吉电新能源有限公司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2,436,074,070.53</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50.65%</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吉林热电检修安装工程有限公司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80,297,529.00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检修运行</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寿光恒达电力有限公司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216,360,000.00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山东省潍坊市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山东省潍坊市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江西中电投新能源发电有限公司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1,099,160,000.00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江西省南昌市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江西省南昌市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风电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吉电宏日智慧能源（长春）有限公司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综合智慧能源</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吉电太能（浙江）智慧能源有限公司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浙江省湖州市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浙江省湖州市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吉电智慧能源（长春）有限公司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兴安盟吉电双松新能源有限公司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内蒙古自治区</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内蒙古自治区</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检修运行</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汪清吉电能源有限公司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366,310,436.28</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吉林省延边朝鲜族自治州</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吉林省延边朝鲜族自治州</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潍坊景世乾控股有限公司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203,000,000.00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山东省寿光市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山东省寿光市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吉林省吉电配售电有限公司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天津天达科技有限公司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天津市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天津市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海宁鸿运新能源有限公司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浙江省海宁市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浙江省海宁市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山东爱特电力工程有限公司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84,250,000.00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山东省潍坊市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山东省潍坊市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安徽吉电新能源有限公司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2,512,214,100.00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安徽省合肥市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安徽省合肥市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陕西吉电能源有限公司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1,970,042,941.20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陕西省西安市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陕西省西安市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潍坊裕永农业发展有限公司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245,000,000.00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山东省潍坊市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山东省潍坊市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91.43%</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广西沃中投资有限公司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462,200,000.00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广西自治区南宁市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广西自治区南宁市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通化吉电智慧能源有限公司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54,959,920.00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吉林省通化市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吉林省通化市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综合智慧能源</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洮南吉能新能源有限公司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71,258,000.00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吉林省白城市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吉林省白城市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广东吉电能源有限公司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广东省深圳市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广东省深圳市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湖南吉昇新能源有限公司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47,422,000.00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湖南省长沙市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湖南省长沙市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寿光吉电景华新能源有限公司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山东省寿光市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山东省寿光市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吉林省吉电昊姆智慧能源有限公司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吉林松花江热电有限公司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1,675,224,900.00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吉林省吉林市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吉林省吉林市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煤电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白城吉电氢能科技有限公司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25,234,000.00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吉林省白城市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吉林省白城市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氢能</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吉电通化河口热电有限责任公司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吉林省通化市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吉林省通化市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煤电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松原市上元新能源有限公司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25,050,500.00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吉林省前郭县</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吉林省前郭县</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79.84%</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大安吉电新能源有限公司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139,950,000.00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吉林省大安市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吉林省大安市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镇赉吉电新能源有限公司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291,875,600.00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吉林省镇赉县</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吉林省镇赉县</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南昌市中阳新能源有限公司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江西省南昌市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江西省南昌市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仁化县金裕新能源发电有限公司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广东省韶关市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广东省韶关市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60.22%</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吉林市吉电能源有限公司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10,405,600.00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吉林省吉林市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吉林省吉林市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综合智慧能源</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吉林吉长电力有限公司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330,339,767.15</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吉林省四平市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吉林省四平市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煤电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北京吉电智慧新能源有限公司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94,453,200.00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综合智慧能源</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吉林吉电新燃能源有限公司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42,500,000.00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山东吉电新能源有限公司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山东省潍坊市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山东省潍坊市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通榆吉电绿色能源发展有限公司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478,770,000.00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吉林省白城市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吉林省白城市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综合智慧能源</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长春吉电氢能有限公司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氢能</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吉电智慧能源（长春汽车经济技术开发区）有限公司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161,580,000.00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综合智慧能源</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长春吉电能源科技有限公司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太阳能、风电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吉林省吉电希尔智慧能源有限公司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长春吉电热力有限公司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59,030,000.00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热力销售</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吉电清能工融（北京）股权投资基金合伙企业（有限合伙）</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19.98%</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白城吉电绿电能源有限公司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198,820,000.00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吉林省白城市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吉林省白城市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太阳能、风电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大安吉电绿氢能源有限公司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吉林省白城市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吉林省白城市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氢能</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白城绿电园区配售电有限公司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吉林省白城市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吉林省白城市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吉电凯达发展能源（长春）有限公司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综合智慧能源</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大连吉电智慧能源有限公司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辽宁省大连市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辽宁省大连市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综合智慧能源</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四平吉电能源开发有限公司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吉林省四平市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吉林省四平市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上海吉电企业发展有限公司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四川吉电能源有限公司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四川省成都市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四川省成都市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海南吉电智慧新能源有限公司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海南省海口市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海南省海口市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综合智慧能源</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吉林吉电绿色能源发展有限公司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1,254,680,000.00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磐石吉电宏日智慧能源有限公司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吉林省吉林市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吉林省吉林市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长春吉电绿能能源合伙企业（有限合伙）</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3,389,323,400.00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20.49%</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0.03%</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北京吉能新能源科技有限公司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754,000,000.00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吉林省汪清抽水蓄能有限公司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2,500,000,000.00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吉林省汪清市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吉林省汪清市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水力发电、储能</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吉电智晟（长春）储能有限公司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综合智慧能源</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内蒙古吉电智慧能源有限公司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内蒙古自治区</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内蒙古自治区</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上海吉远绿色能源有限公司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在子公司的持股比例不同于表决权比例的说明：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持有半数或以下表决权但仍控制被投资单位、以及持有半数以上表决权但不控制被投资单位的依据：</w:t>
      </w:r>
    </w:p>
    <w:p>
      <w:pPr>
        <w:pStyle w:val="5"/>
        <w:keepNext w:val="0"/>
        <w:keepLines w:val="0"/>
        <w:widowControl/>
        <w:suppressLineNumbers w:val="0"/>
        <w:spacing w:before="100" w:beforeAutospacing="0" w:after="120" w:afterAutospacing="0" w:line="360" w:lineRule="auto"/>
        <w:ind w:left="0" w:right="0" w:firstLine="420"/>
        <w:jc w:val="left"/>
        <w:textAlignment w:val="baseline"/>
        <w:rPr>
          <w:rFonts w:hint="default" w:ascii="Times New Roman" w:hAnsi="Times New Roman" w:cs="Times New Roman"/>
          <w:sz w:val="24"/>
          <w:szCs w:val="24"/>
        </w:rPr>
      </w:pPr>
      <w:r>
        <w:rPr>
          <w:rFonts w:hint="eastAsia" w:ascii="宋体" w:hAnsi="宋体" w:eastAsia="宋体" w:cs="宋体"/>
          <w:sz w:val="21"/>
          <w:szCs w:val="21"/>
          <w:vertAlign w:val="baseline"/>
        </w:rPr>
        <w:t>1) 截至2024年6月30日，本公司持有吉电清能工融碳中和股权投资基金（有限合伙）19.98%的股权比例。根据吉电清能工融碳中和股权投资基金（有限合伙）的合伙协议所规定的表决机制，本公司可以控制该基金的投资决策。因此，本公司管理层认为本公司对吉电清能工融碳中和股权投资基金（有限合伙）具有实际控制，故将该基金纳入合并范围。</w:t>
      </w:r>
    </w:p>
    <w:p>
      <w:pPr>
        <w:pStyle w:val="5"/>
        <w:keepNext w:val="0"/>
        <w:keepLines w:val="0"/>
        <w:widowControl/>
        <w:suppressLineNumbers w:val="0"/>
        <w:spacing w:before="100" w:beforeAutospacing="0" w:after="120" w:afterAutospacing="0" w:line="360" w:lineRule="auto"/>
        <w:ind w:left="0" w:right="0" w:firstLine="420"/>
        <w:jc w:val="left"/>
        <w:textAlignment w:val="baseline"/>
        <w:rPr>
          <w:rFonts w:hint="default" w:ascii="Times New Roman" w:hAnsi="Times New Roman" w:cs="Times New Roman"/>
          <w:sz w:val="24"/>
          <w:szCs w:val="24"/>
        </w:rPr>
      </w:pPr>
      <w:r>
        <w:rPr>
          <w:rFonts w:hint="eastAsia" w:ascii="宋体" w:hAnsi="宋体" w:eastAsia="宋体" w:cs="宋体"/>
          <w:sz w:val="21"/>
          <w:szCs w:val="21"/>
          <w:vertAlign w:val="baseline"/>
        </w:rPr>
        <w:t>2) 截至2024年6月30日，本公司持有长春吉电绿能能源合伙企业（有限合伙）20.49%份额，本公司全资子公司吉电通化河口热电有限责任公司占有0.03%的份额并作为其执行事务合伙人。根据长春吉电绿能能源合伙企业（有限合伙）的合伙协议所规定的表决机制，本公司可以控制该合伙企业的决策。因此，本公司管理层认为本公司对该有限合伙企业具有实际控制，故将该企业纳入合并范围。</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对于纳入合并范围的重要的结构化主体，控制的依据：</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确定公司是代理人还是委托人的依据：</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431" w:name="_Toc989320"/>
      <w:r>
        <w:rPr>
          <w:rFonts w:ascii="宋体" w:hAnsi="宋体" w:eastAsia="宋体" w:cs="宋体"/>
          <w:b/>
          <w:bCs/>
          <w:sz w:val="18"/>
          <w:szCs w:val="18"/>
        </w:rPr>
        <w:t>（2） 重要的非全资子公司</w:t>
      </w:r>
      <w:bookmarkEnd w:id="43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子公司名称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少数股东持股比例</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本期归属于少数股东的损益</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本期向少数股东宣告分派的股利</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期末少数股东权益余额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吉林吉电新能源有限公司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49.35%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47,918,356.16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96,100,000.00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1,597,918,356.16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江西中电投新能源发电有限公司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77,012,213.11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896,397,588.58</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子公司少数股东的持股比例不同于表决权比例的说明：</w:t>
      </w:r>
    </w:p>
    <w:p>
      <w:pPr>
        <w:pStyle w:val="5"/>
        <w:keepNext w:val="0"/>
        <w:keepLines w:val="0"/>
        <w:widowControl/>
        <w:suppressLineNumbers w:val="0"/>
      </w:pPr>
      <w:r>
        <w:rPr>
          <w:rFonts w:hint="eastAsia" w:ascii="宋体" w:hAnsi="宋体" w:eastAsia="宋体" w:cs="宋体"/>
          <w:sz w:val="18"/>
          <w:szCs w:val="18"/>
        </w:rPr>
        <w:t>无。</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432" w:name="_Toc989321"/>
      <w:r>
        <w:rPr>
          <w:rFonts w:ascii="宋体" w:hAnsi="宋体" w:eastAsia="宋体" w:cs="宋体"/>
          <w:b/>
          <w:bCs/>
          <w:sz w:val="18"/>
          <w:szCs w:val="18"/>
        </w:rPr>
        <w:t>（3） 重要非全资子公司的主要财务信息</w:t>
      </w:r>
      <w:bookmarkEnd w:id="43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1"/>
        <w:gridCol w:w="741"/>
        <w:gridCol w:w="741"/>
        <w:gridCol w:w="741"/>
        <w:gridCol w:w="741"/>
        <w:gridCol w:w="741"/>
        <w:gridCol w:w="741"/>
        <w:gridCol w:w="741"/>
        <w:gridCol w:w="741"/>
        <w:gridCol w:w="741"/>
        <w:gridCol w:w="741"/>
        <w:gridCol w:w="741"/>
        <w:gridCol w:w="7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子公司名称</w:t>
            </w:r>
          </w:p>
        </w:tc>
        <w:tc>
          <w:tcPr>
            <w:tcW w:w="4446" w:type="dxa"/>
            <w:gridSpan w:val="6"/>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446" w:type="dxa"/>
            <w:gridSpan w:val="6"/>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流动资产</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非流动资产</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资产合计</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流动负债</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非流动负债</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负债合计</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流动资产</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非流动资产</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资产合计</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流动负债</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非流动负债</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负债合计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吉林吉电新能源有限公司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2,335,579,944.16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3,426,529,697.53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5,762,109,641.69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564,567,181.64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1,779,097,378.91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2,343,664,560.55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2,527,988,952.45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3,572,478,461.63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6,100,467,414.08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804,318,644.68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1,932,350,729.20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2,736,669,373.88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江西中电投新能源发电有限公司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1,289,777,897.51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3,689,978,472.58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4,979,756,370.09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547,938,747.11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2,731,330,988.00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3,279,269,735.11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1,514,974,297.21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3,837,096,690.23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5,352,070,987.44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1,459,643,723.89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2,220,624,190.00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3,680,267,913.89</w:t>
            </w:r>
          </w:p>
        </w:tc>
      </w:tr>
    </w:tbl>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子公司名称</w:t>
            </w:r>
          </w:p>
        </w:tc>
        <w:tc>
          <w:tcPr>
            <w:tcW w:w="428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428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净利润</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综合收益总额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经营活动现金流量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净利润</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综合收益总额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经营活动现金流量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吉林吉电新能源有限公司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386,908,634.12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147,094,842.11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147,094,842.11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72,782,917.19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490,087,826.40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213,222,620.78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213,222,620.78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236,268,064.85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江西中电投新能源发电有限公司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376,191,584.21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157,282,613.29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157,282,613.29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190,011,679.28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406,807,734.35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166,267,710.43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166,267,710.43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41,244,279.76</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433" w:name="_Toc989322"/>
      <w:r>
        <w:rPr>
          <w:rFonts w:ascii="宋体" w:hAnsi="宋体" w:eastAsia="宋体" w:cs="宋体"/>
          <w:b/>
          <w:bCs/>
          <w:sz w:val="18"/>
          <w:szCs w:val="18"/>
        </w:rPr>
        <w:t>（4） 使用企业集团资产和清偿企业集团债务的重大限制</w:t>
      </w:r>
      <w:bookmarkEnd w:id="433"/>
    </w:p>
    <w:p>
      <w:pPr>
        <w:keepNext/>
        <w:keepLines/>
        <w:spacing w:before="300" w:after="300" w:line="280" w:lineRule="exact"/>
        <w:jc w:val="left"/>
        <w:outlineLvl w:val="3"/>
        <w:rPr>
          <w:rFonts w:ascii="宋体" w:hAnsi="宋体" w:eastAsia="宋体" w:cs="宋体"/>
          <w:b/>
          <w:bCs/>
          <w:sz w:val="18"/>
          <w:szCs w:val="18"/>
        </w:rPr>
      </w:pPr>
      <w:bookmarkStart w:id="434" w:name="_Toc989323"/>
      <w:r>
        <w:rPr>
          <w:rFonts w:ascii="宋体" w:hAnsi="宋体" w:eastAsia="宋体" w:cs="宋体"/>
          <w:b/>
          <w:bCs/>
          <w:sz w:val="18"/>
          <w:szCs w:val="18"/>
        </w:rPr>
        <w:t>（5） 向纳入合并财务报表范围的结构化主体提供的财务支持或其他支持</w:t>
      </w:r>
      <w:bookmarkEnd w:id="434"/>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435" w:name="_Toc989324"/>
      <w:r>
        <w:rPr>
          <w:rFonts w:ascii="宋体" w:hAnsi="宋体" w:eastAsia="宋体" w:cs="宋体"/>
          <w:b/>
          <w:bCs/>
          <w:sz w:val="21"/>
          <w:szCs w:val="21"/>
        </w:rPr>
        <w:t>2、在子公司的所有者权益份额发生变化且仍控制子公司的交易</w:t>
      </w:r>
      <w:bookmarkEnd w:id="435"/>
    </w:p>
    <w:p>
      <w:pPr>
        <w:keepNext/>
        <w:keepLines/>
        <w:spacing w:before="300" w:after="300" w:line="280" w:lineRule="exact"/>
        <w:jc w:val="left"/>
        <w:outlineLvl w:val="3"/>
        <w:rPr>
          <w:rFonts w:ascii="宋体" w:hAnsi="宋体" w:eastAsia="宋体" w:cs="宋体"/>
          <w:b/>
          <w:bCs/>
          <w:sz w:val="18"/>
          <w:szCs w:val="18"/>
        </w:rPr>
      </w:pPr>
      <w:bookmarkStart w:id="436" w:name="_Toc989325"/>
      <w:r>
        <w:rPr>
          <w:rFonts w:ascii="宋体" w:hAnsi="宋体" w:eastAsia="宋体" w:cs="宋体"/>
          <w:b/>
          <w:bCs/>
          <w:sz w:val="18"/>
          <w:szCs w:val="18"/>
        </w:rPr>
        <w:t>（1） 在子公司所有者权益份额发生变化的情况说明</w:t>
      </w:r>
      <w:bookmarkEnd w:id="436"/>
    </w:p>
    <w:p>
      <w:pPr>
        <w:keepNext/>
        <w:keepLines/>
        <w:spacing w:before="300" w:after="300" w:line="280" w:lineRule="exact"/>
        <w:jc w:val="left"/>
        <w:outlineLvl w:val="3"/>
        <w:rPr>
          <w:rFonts w:ascii="宋体" w:hAnsi="宋体" w:eastAsia="宋体" w:cs="宋体"/>
          <w:b/>
          <w:bCs/>
          <w:sz w:val="18"/>
          <w:szCs w:val="18"/>
        </w:rPr>
      </w:pPr>
      <w:bookmarkStart w:id="437" w:name="_Toc989326"/>
      <w:r>
        <w:rPr>
          <w:rFonts w:ascii="宋体" w:hAnsi="宋体" w:eastAsia="宋体" w:cs="宋体"/>
          <w:b/>
          <w:bCs/>
          <w:sz w:val="18"/>
          <w:szCs w:val="18"/>
        </w:rPr>
        <w:t>（2） 交易对于少数股东权益及归属于母公司所有者权益的影响</w:t>
      </w:r>
      <w:bookmarkEnd w:id="43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购买成本/处置对价</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--现金</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--非现金资产的公允价值</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购买成本/处置对价合计</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减：按取得/处置的股权比例计算的子公司净资产份额</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差额</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其中：调整资本公积</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调整盈余公积</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调整未分配利润</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438" w:name="_Toc989327"/>
      <w:r>
        <w:rPr>
          <w:rFonts w:ascii="宋体" w:hAnsi="宋体" w:eastAsia="宋体" w:cs="宋体"/>
          <w:b/>
          <w:bCs/>
          <w:sz w:val="21"/>
          <w:szCs w:val="21"/>
        </w:rPr>
        <w:t>3、在合营安排或联营企业中的权益</w:t>
      </w:r>
      <w:bookmarkEnd w:id="438"/>
    </w:p>
    <w:p>
      <w:pPr>
        <w:keepNext/>
        <w:keepLines/>
        <w:spacing w:before="300" w:after="300" w:line="280" w:lineRule="exact"/>
        <w:jc w:val="left"/>
        <w:outlineLvl w:val="3"/>
        <w:rPr>
          <w:rFonts w:ascii="宋体" w:hAnsi="宋体" w:eastAsia="宋体" w:cs="宋体"/>
          <w:b/>
          <w:bCs/>
          <w:sz w:val="21"/>
          <w:szCs w:val="21"/>
        </w:rPr>
      </w:pPr>
      <w:bookmarkStart w:id="439" w:name="_Toc989328"/>
      <w:r>
        <w:rPr>
          <w:rFonts w:ascii="宋体" w:hAnsi="宋体" w:eastAsia="宋体" w:cs="宋体"/>
          <w:b/>
          <w:bCs/>
          <w:sz w:val="21"/>
          <w:szCs w:val="21"/>
        </w:rPr>
        <w:t>（1） 重要的合营企业或联营企业</w:t>
      </w:r>
      <w:bookmarkEnd w:id="439"/>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合营企业或联营企业名称</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主要经营地</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注册地</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业务性质</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持股比例</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对合营企业或联营企业投资的会计处理方法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直接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间接</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广西国电投海外能源投资有限公司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广西省南宁市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广西省南宁市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其他电力生产</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权益法核算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长春绿动氢能科技有限公司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氢能</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26.77%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权益法核算</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在合营企业或联营企业的持股比例不同于表决权比例的说明：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持有20%以下表决权但具有重大影响，或者持有20%或以上表决权但不具有重大影响的依据：</w:t>
      </w:r>
    </w:p>
    <w:p>
      <w:pPr>
        <w:keepNext/>
        <w:keepLines/>
        <w:spacing w:before="300" w:after="300" w:line="280" w:lineRule="exact"/>
        <w:jc w:val="left"/>
        <w:outlineLvl w:val="3"/>
        <w:rPr>
          <w:rFonts w:ascii="宋体" w:hAnsi="宋体" w:eastAsia="宋体" w:cs="宋体"/>
          <w:b/>
          <w:bCs/>
          <w:sz w:val="21"/>
          <w:szCs w:val="21"/>
        </w:rPr>
      </w:pPr>
      <w:bookmarkStart w:id="440" w:name="_Toc989329"/>
      <w:r>
        <w:rPr>
          <w:rFonts w:ascii="宋体" w:hAnsi="宋体" w:eastAsia="宋体" w:cs="宋体"/>
          <w:b/>
          <w:bCs/>
          <w:sz w:val="21"/>
          <w:szCs w:val="21"/>
        </w:rPr>
        <w:t>（2） 重要合营企业的主要财务信息</w:t>
      </w:r>
      <w:bookmarkEnd w:id="44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其中：现金和现金等价物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资产合计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少数股东权益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归属于母公司股东权益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按持股比例计算的净资产份额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调整事项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--商誉</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--内部交易未实现利润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对合营企业权益投资的账面价值</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存在公开报价的合营企业权益投资的公允价值</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营业收入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财务费用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所得税费用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净利润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终止经营的净利润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综合收益总额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本年度收到的来自合营企业的股利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441" w:name="_Toc989330"/>
      <w:r>
        <w:rPr>
          <w:rFonts w:ascii="宋体" w:hAnsi="宋体" w:eastAsia="宋体" w:cs="宋体"/>
          <w:b/>
          <w:bCs/>
          <w:sz w:val="21"/>
          <w:szCs w:val="21"/>
        </w:rPr>
        <w:t>（3） 重要联营企业的主要财务信息</w:t>
      </w:r>
      <w:bookmarkEnd w:id="44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期末余额/本期发生额</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期初余额/上期发生额</w:t>
            </w:r>
          </w:p>
        </w:tc>
      </w:tr>
      <w:tr>
        <w:tblPrEx>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广西国电投海外能源投资有限公司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长春绿动氢能科技有限公司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广西国电投海外能源投资有限公司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长春绿动氢能科技有限公司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流动资产</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1,263,093,053.47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321,323,138.06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409,366,034.30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347,218,045.51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非流动资产</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6,863,099,534.79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419,028,740.40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6,939,392,535.79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422,844,327.82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资产合计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8,126,192,588.26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740,351,878.46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7,348,758,570.09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770,062,373.33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流动负债</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1,676,455,838.78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99,553,744.91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1,392,860,907.57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98,548,446.32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非流动负债</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4,410,924,919.28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25,961,273.02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4,102,065,782.95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27,541,737.27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负债合计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6,087,380,758.06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125,515,017.93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5,494,926,690.52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126,090,183.59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少数股东权益</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20,360,882.23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14,462,257.68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归属于母公司股东权益</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2,018,450,947.97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614,836,860.53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1,839,369,621.89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643,972,189.74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按持股比例计算的净资产份额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698,258,522.75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164,576,456.64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635,795,521.88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189,145,961.95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调整事项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--商誉</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--内部交易未实现利润</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对联营企业权益投资的账面价值</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698,258,522.75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181,304,485.54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635,795,521.88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189,145,961.95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存在公开报价的联营企业权益投资的公允价值</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营业收入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309,169,660.70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347,661,973.69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净利润</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180,264,780.39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-29,292,029.93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147,943,091.13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-29,744,105.11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终止经营的净利润</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其他综合收益</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综合收益总额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180,264,780.39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-29,292,029.93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147,943,091.13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-29,744,105.11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本年度收到的来自联营企业的股利</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442" w:name="_Toc989331"/>
      <w:r>
        <w:rPr>
          <w:rFonts w:ascii="宋体" w:hAnsi="宋体" w:eastAsia="宋体" w:cs="宋体"/>
          <w:b/>
          <w:bCs/>
          <w:sz w:val="21"/>
          <w:szCs w:val="21"/>
        </w:rPr>
        <w:t>（4） 不重要的合营企业和联营企业的汇总财务信息</w:t>
      </w:r>
      <w:bookmarkEnd w:id="44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合营企业：</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下列各项按持股比例计算的合计数</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联营企业：</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投资账面价值合计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366,914,993.14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348,554,099.21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下列各项按持股比例计算的合计数</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--净利润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1,963,067.45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-7,486,479.45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1,963,067.45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-7,486,479.45</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443" w:name="_Toc989332"/>
      <w:r>
        <w:rPr>
          <w:rFonts w:ascii="宋体" w:hAnsi="宋体" w:eastAsia="宋体" w:cs="宋体"/>
          <w:b/>
          <w:bCs/>
          <w:sz w:val="21"/>
          <w:szCs w:val="21"/>
        </w:rPr>
        <w:t>（5） 合营企业或联营企业向本公司转移资金的能力存在重大限制的说明</w:t>
      </w:r>
      <w:bookmarkEnd w:id="443"/>
    </w:p>
    <w:p>
      <w:pPr>
        <w:keepNext/>
        <w:keepLines/>
        <w:spacing w:before="300" w:after="300" w:line="280" w:lineRule="exact"/>
        <w:jc w:val="left"/>
        <w:outlineLvl w:val="3"/>
        <w:rPr>
          <w:rFonts w:ascii="宋体" w:hAnsi="宋体" w:eastAsia="宋体" w:cs="宋体"/>
          <w:b/>
          <w:bCs/>
          <w:sz w:val="21"/>
          <w:szCs w:val="21"/>
        </w:rPr>
      </w:pPr>
      <w:bookmarkStart w:id="444" w:name="_Toc989333"/>
      <w:r>
        <w:rPr>
          <w:rFonts w:ascii="宋体" w:hAnsi="宋体" w:eastAsia="宋体" w:cs="宋体"/>
          <w:b/>
          <w:bCs/>
          <w:sz w:val="21"/>
          <w:szCs w:val="21"/>
        </w:rPr>
        <w:t>（6） 合营企业或联营企业发生的超额亏损</w:t>
      </w:r>
      <w:bookmarkEnd w:id="44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合营企业或联营企业名称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累积未确认前期累计的损失</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本期未确认的损失（或本期分享的净利润）</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本期末累积未确认的损失</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445" w:name="_Toc989334"/>
      <w:r>
        <w:rPr>
          <w:rFonts w:ascii="宋体" w:hAnsi="宋体" w:eastAsia="宋体" w:cs="宋体"/>
          <w:b/>
          <w:bCs/>
          <w:sz w:val="21"/>
          <w:szCs w:val="21"/>
        </w:rPr>
        <w:t>（7） 与合营企业投资相关的未确认承诺</w:t>
      </w:r>
      <w:bookmarkEnd w:id="445"/>
    </w:p>
    <w:p>
      <w:pPr>
        <w:keepNext/>
        <w:keepLines/>
        <w:spacing w:before="300" w:after="300" w:line="280" w:lineRule="exact"/>
        <w:jc w:val="left"/>
        <w:outlineLvl w:val="3"/>
        <w:rPr>
          <w:rFonts w:ascii="宋体" w:hAnsi="宋体" w:eastAsia="宋体" w:cs="宋体"/>
          <w:b/>
          <w:bCs/>
          <w:sz w:val="21"/>
          <w:szCs w:val="21"/>
        </w:rPr>
      </w:pPr>
      <w:bookmarkStart w:id="446" w:name="_Toc989335"/>
      <w:r>
        <w:rPr>
          <w:rFonts w:ascii="宋体" w:hAnsi="宋体" w:eastAsia="宋体" w:cs="宋体"/>
          <w:b/>
          <w:bCs/>
          <w:sz w:val="21"/>
          <w:szCs w:val="21"/>
        </w:rPr>
        <w:t>（8） 与合营企业或联营企业投资相关的或有负债</w:t>
      </w:r>
      <w:bookmarkEnd w:id="446"/>
    </w:p>
    <w:p>
      <w:pPr>
        <w:keepNext/>
        <w:keepLines/>
        <w:spacing w:before="300" w:after="300" w:line="280" w:lineRule="exact"/>
        <w:jc w:val="left"/>
        <w:outlineLvl w:val="2"/>
        <w:rPr>
          <w:rFonts w:ascii="宋体" w:hAnsi="宋体" w:eastAsia="宋体" w:cs="宋体"/>
          <w:b/>
          <w:bCs/>
          <w:sz w:val="21"/>
          <w:szCs w:val="21"/>
        </w:rPr>
      </w:pPr>
      <w:bookmarkStart w:id="447" w:name="_Toc989336"/>
      <w:r>
        <w:rPr>
          <w:rFonts w:ascii="宋体" w:hAnsi="宋体" w:eastAsia="宋体" w:cs="宋体"/>
          <w:b/>
          <w:bCs/>
          <w:sz w:val="21"/>
          <w:szCs w:val="21"/>
        </w:rPr>
        <w:t>4、重要的共同经营</w:t>
      </w:r>
      <w:bookmarkEnd w:id="447"/>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共同经营名称</w:t>
            </w:r>
          </w:p>
        </w:tc>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主要经营地</w:t>
            </w:r>
          </w:p>
        </w:tc>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注册地</w:t>
            </w:r>
          </w:p>
        </w:tc>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业务性质</w:t>
            </w:r>
          </w:p>
        </w:tc>
        <w:tc>
          <w:tcPr>
            <w:tcW w:w="321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持股比例/享有的份额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直接</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间接</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在共同经营中的持股比例或享有的份额不同于表决权比例的说明：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共同经营为单独主体的，分类为共同经营的依据：</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448" w:name="_Toc989337"/>
      <w:r>
        <w:rPr>
          <w:rFonts w:ascii="宋体" w:hAnsi="宋体" w:eastAsia="宋体" w:cs="宋体"/>
          <w:b/>
          <w:bCs/>
          <w:sz w:val="21"/>
          <w:szCs w:val="21"/>
        </w:rPr>
        <w:t>5、在未纳入合并财务报表范围的结构化主体中的权益</w:t>
      </w:r>
      <w:bookmarkEnd w:id="448"/>
    </w:p>
    <w:p>
      <w:pPr>
        <w:spacing w:before="100" w:after="100" w:line="240" w:lineRule="exact"/>
        <w:jc w:val="left"/>
        <w:rPr>
          <w:rFonts w:ascii="宋体" w:hAnsi="宋体" w:eastAsia="宋体" w:cs="宋体"/>
          <w:sz w:val="18"/>
          <w:szCs w:val="18"/>
        </w:rPr>
      </w:pPr>
      <w:r>
        <w:rPr>
          <w:rFonts w:ascii="宋体" w:hAnsi="宋体" w:eastAsia="宋体" w:cs="宋体"/>
          <w:sz w:val="18"/>
          <w:szCs w:val="18"/>
        </w:rPr>
        <w:t>未纳入合并财务报表范围的结构化主体的相关说明：</w:t>
      </w:r>
    </w:p>
    <w:p>
      <w:pPr>
        <w:keepNext/>
        <w:keepLines/>
        <w:spacing w:before="300" w:after="300" w:line="280" w:lineRule="exact"/>
        <w:jc w:val="left"/>
        <w:outlineLvl w:val="2"/>
        <w:rPr>
          <w:rFonts w:ascii="宋体" w:hAnsi="宋体" w:eastAsia="宋体" w:cs="宋体"/>
          <w:b/>
          <w:bCs/>
          <w:sz w:val="21"/>
          <w:szCs w:val="21"/>
        </w:rPr>
      </w:pPr>
      <w:bookmarkStart w:id="449" w:name="_Toc989338"/>
      <w:r>
        <w:rPr>
          <w:rFonts w:ascii="宋体" w:hAnsi="宋体" w:eastAsia="宋体" w:cs="宋体"/>
          <w:b/>
          <w:bCs/>
          <w:sz w:val="21"/>
          <w:szCs w:val="21"/>
        </w:rPr>
        <w:t>6、其他</w:t>
      </w:r>
      <w:bookmarkEnd w:id="449"/>
    </w:p>
    <w:p>
      <w:pPr>
        <w:keepNext/>
        <w:keepLines/>
        <w:spacing w:before="300" w:after="300" w:line="320" w:lineRule="exact"/>
        <w:jc w:val="left"/>
        <w:outlineLvl w:val="1"/>
        <w:rPr>
          <w:rFonts w:ascii="宋体" w:hAnsi="宋体" w:eastAsia="宋体" w:cs="宋体"/>
          <w:b/>
          <w:bCs/>
          <w:sz w:val="24"/>
          <w:szCs w:val="24"/>
        </w:rPr>
      </w:pPr>
      <w:bookmarkStart w:id="450" w:name="_Toc989339"/>
      <w:r>
        <w:rPr>
          <w:rFonts w:ascii="宋体" w:hAnsi="宋体" w:eastAsia="宋体" w:cs="宋体"/>
          <w:b/>
          <w:bCs/>
          <w:sz w:val="24"/>
          <w:szCs w:val="24"/>
        </w:rPr>
        <w:t>十一、政府补助</w:t>
      </w:r>
      <w:bookmarkEnd w:id="450"/>
    </w:p>
    <w:p>
      <w:pPr>
        <w:keepNext/>
        <w:keepLines/>
        <w:spacing w:before="300" w:after="300" w:line="280" w:lineRule="exact"/>
        <w:jc w:val="left"/>
        <w:outlineLvl w:val="2"/>
        <w:rPr>
          <w:rFonts w:ascii="宋体" w:hAnsi="宋体" w:eastAsia="宋体" w:cs="宋体"/>
          <w:b/>
          <w:bCs/>
          <w:sz w:val="21"/>
          <w:szCs w:val="21"/>
        </w:rPr>
      </w:pPr>
      <w:bookmarkStart w:id="451" w:name="_Toc989340"/>
      <w:r>
        <w:rPr>
          <w:rFonts w:ascii="宋体" w:hAnsi="宋体" w:eastAsia="宋体" w:cs="宋体"/>
          <w:b/>
          <w:bCs/>
          <w:sz w:val="21"/>
          <w:szCs w:val="21"/>
        </w:rPr>
        <w:t>1、报告期末按应收金额确认的政府补助</w:t>
      </w:r>
      <w:bookmarkEnd w:id="451"/>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0" w:after="0" w:line="240" w:lineRule="exact"/>
        <w:jc w:val="left"/>
        <w:rPr>
          <w:rFonts w:ascii="宋体" w:hAnsi="宋体" w:eastAsia="宋体" w:cs="宋体"/>
          <w:sz w:val="18"/>
          <w:szCs w:val="18"/>
        </w:rPr>
      </w:pPr>
      <w:r>
        <w:rPr>
          <w:rFonts w:ascii="宋体" w:hAnsi="宋体" w:eastAsia="宋体" w:cs="宋体"/>
          <w:sz w:val="18"/>
          <w:szCs w:val="18"/>
        </w:rPr>
        <w:t>未能在预计时点收到预计金额的政府补助的原因</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452" w:name="_Toc989341"/>
      <w:r>
        <w:rPr>
          <w:rFonts w:ascii="宋体" w:hAnsi="宋体" w:eastAsia="宋体" w:cs="宋体"/>
          <w:b/>
          <w:bCs/>
          <w:sz w:val="21"/>
          <w:szCs w:val="21"/>
        </w:rPr>
        <w:t>2、涉及政府补助的负债项目</w:t>
      </w:r>
      <w:bookmarkEnd w:id="452"/>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5"/>
        <w:gridCol w:w="1205"/>
        <w:gridCol w:w="1205"/>
        <w:gridCol w:w="1205"/>
        <w:gridCol w:w="1205"/>
        <w:gridCol w:w="1205"/>
        <w:gridCol w:w="1205"/>
        <w:gridCol w:w="12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会计科目</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本期新增补助金额</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本期计入营业外收入金额</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本期转入其他收益金额</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本期其他变动</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与资产/收益相关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递延收益</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45,350,223.09</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7,024,000.00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1,816,272.14</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71,502.00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50,486,448.95</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与资产相关</w:t>
            </w:r>
          </w:p>
        </w:tc>
      </w:tr>
    </w:tbl>
    <w:p>
      <w:pPr>
        <w:keepNext/>
        <w:keepLines/>
        <w:spacing w:before="300" w:after="300" w:line="280" w:lineRule="exact"/>
        <w:jc w:val="left"/>
        <w:outlineLvl w:val="2"/>
        <w:rPr>
          <w:rFonts w:ascii="宋体" w:hAnsi="宋体" w:eastAsia="宋体" w:cs="宋体"/>
          <w:b/>
          <w:bCs/>
          <w:sz w:val="21"/>
          <w:szCs w:val="21"/>
        </w:rPr>
      </w:pPr>
      <w:bookmarkStart w:id="453" w:name="_Toc989342"/>
      <w:r>
        <w:rPr>
          <w:rFonts w:ascii="宋体" w:hAnsi="宋体" w:eastAsia="宋体" w:cs="宋体"/>
          <w:b/>
          <w:bCs/>
          <w:sz w:val="21"/>
          <w:szCs w:val="21"/>
        </w:rPr>
        <w:t>3、计入当期损益的政府补助</w:t>
      </w:r>
      <w:bookmarkEnd w:id="453"/>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会计科目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计入其他收益的政府补助金额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5,728,697.29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5,286,910.35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计入营业外收入的政府补助金额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20,150.00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计入财务费用的政府补助金额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71,502.00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71,502.00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5,903,199.29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5,378,562.35</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both"/>
        <w:rPr>
          <w:rFonts w:hint="default" w:ascii="Times New Roman" w:hAnsi="Times New Roman" w:cs="Times New Roman"/>
          <w:sz w:val="24"/>
          <w:szCs w:val="24"/>
        </w:rPr>
      </w:pPr>
      <w:r>
        <w:rPr>
          <w:rFonts w:hint="eastAsia" w:ascii="宋体" w:hAnsi="宋体" w:eastAsia="宋体" w:cs="宋体"/>
          <w:i w:val="0"/>
          <w:caps w:val="0"/>
          <w:color w:val="000000"/>
          <w:spacing w:val="0"/>
          <w:sz w:val="21"/>
          <w:szCs w:val="21"/>
        </w:rPr>
        <w:t>本期新增的政府补助情况</w:t>
      </w:r>
    </w:p>
    <w:tbl>
      <w:tblPr>
        <w:tblStyle w:val="6"/>
        <w:tblW w:w="996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893"/>
        <w:gridCol w:w="406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9" w:hRule="atLeast"/>
        </w:trPr>
        <w:tc>
          <w:tcPr>
            <w:tcW w:w="589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firstLine="210"/>
              <w:jc w:val="left"/>
              <w:textAlignment w:val="baseline"/>
              <w:rPr>
                <w:rFonts w:hint="default" w:ascii="Times New Roman" w:hAnsi="Times New Roman" w:cs="Times New Roman"/>
                <w:sz w:val="24"/>
                <w:szCs w:val="24"/>
              </w:rPr>
            </w:pPr>
            <w:r>
              <w:rPr>
                <w:rFonts w:hint="eastAsia" w:ascii="宋体" w:hAnsi="宋体" w:eastAsia="宋体" w:cs="宋体"/>
                <w:i w:val="0"/>
                <w:caps w:val="0"/>
                <w:color w:val="000000"/>
                <w:spacing w:val="0"/>
                <w:sz w:val="21"/>
                <w:szCs w:val="21"/>
                <w:vertAlign w:val="baseline"/>
              </w:rPr>
              <w:t>项  目</w:t>
            </w:r>
          </w:p>
        </w:tc>
        <w:tc>
          <w:tcPr>
            <w:tcW w:w="406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4"/>
                <w:szCs w:val="24"/>
              </w:rPr>
            </w:pPr>
            <w:r>
              <w:rPr>
                <w:rFonts w:hint="eastAsia" w:ascii="宋体" w:hAnsi="宋体" w:eastAsia="宋体" w:cs="宋体"/>
                <w:i w:val="0"/>
                <w:caps w:val="0"/>
                <w:color w:val="000000"/>
                <w:spacing w:val="0"/>
                <w:sz w:val="21"/>
                <w:szCs w:val="21"/>
              </w:rPr>
              <w:t>本期新增补助金额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9" w:hRule="atLeast"/>
        </w:trPr>
        <w:tc>
          <w:tcPr>
            <w:tcW w:w="58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textAlignment w:val="baseline"/>
              <w:rPr>
                <w:rFonts w:hint="default" w:ascii="Times New Roman" w:hAnsi="Times New Roman" w:cs="Times New Roman"/>
                <w:sz w:val="24"/>
                <w:szCs w:val="24"/>
              </w:rPr>
            </w:pPr>
            <w:r>
              <w:rPr>
                <w:rFonts w:hint="eastAsia" w:ascii="宋体" w:hAnsi="宋体" w:eastAsia="宋体" w:cs="宋体"/>
                <w:i w:val="0"/>
                <w:caps w:val="0"/>
                <w:color w:val="000000"/>
                <w:spacing w:val="0"/>
                <w:sz w:val="21"/>
                <w:szCs w:val="21"/>
                <w:vertAlign w:val="baseline"/>
              </w:rPr>
              <w:t>与资产相关的政府补助</w:t>
            </w:r>
          </w:p>
        </w:tc>
        <w:tc>
          <w:tcPr>
            <w:tcW w:w="40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i w:val="0"/>
                <w:color w:val="000000"/>
                <w:sz w:val="18"/>
                <w:szCs w:val="18"/>
              </w:rPr>
              <w:t xml:space="preserve"> 7,024,000.00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9" w:hRule="atLeast"/>
        </w:trPr>
        <w:tc>
          <w:tcPr>
            <w:tcW w:w="58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firstLine="420"/>
              <w:jc w:val="left"/>
              <w:textAlignment w:val="baseline"/>
              <w:rPr>
                <w:rFonts w:hint="default" w:ascii="Times New Roman" w:hAnsi="Times New Roman" w:cs="Times New Roman"/>
                <w:sz w:val="24"/>
                <w:szCs w:val="24"/>
              </w:rPr>
            </w:pPr>
            <w:r>
              <w:rPr>
                <w:rFonts w:hint="eastAsia" w:ascii="宋体" w:hAnsi="宋体" w:eastAsia="宋体" w:cs="宋体"/>
                <w:i w:val="0"/>
                <w:caps w:val="0"/>
                <w:color w:val="000000"/>
                <w:spacing w:val="0"/>
                <w:sz w:val="21"/>
                <w:szCs w:val="21"/>
                <w:vertAlign w:val="baseline"/>
              </w:rPr>
              <w:t>其中：计入递延收益</w:t>
            </w:r>
          </w:p>
        </w:tc>
        <w:tc>
          <w:tcPr>
            <w:tcW w:w="40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i w:val="0"/>
                <w:color w:val="000000"/>
                <w:sz w:val="18"/>
                <w:szCs w:val="18"/>
              </w:rPr>
              <w:t xml:space="preserve"> 7,024,000.00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9" w:hRule="atLeast"/>
        </w:trPr>
        <w:tc>
          <w:tcPr>
            <w:tcW w:w="58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left"/>
              <w:textAlignment w:val="baseline"/>
              <w:rPr>
                <w:rFonts w:hint="default" w:ascii="Times New Roman" w:hAnsi="Times New Roman" w:cs="Times New Roman"/>
                <w:sz w:val="24"/>
                <w:szCs w:val="24"/>
              </w:rPr>
            </w:pPr>
            <w:r>
              <w:rPr>
                <w:rFonts w:hint="eastAsia" w:ascii="宋体" w:hAnsi="宋体" w:eastAsia="宋体" w:cs="宋体"/>
                <w:i w:val="0"/>
                <w:caps w:val="0"/>
                <w:color w:val="000000"/>
                <w:spacing w:val="0"/>
                <w:sz w:val="21"/>
                <w:szCs w:val="21"/>
                <w:vertAlign w:val="baseline"/>
              </w:rPr>
              <w:t>与收益相关的政府补助</w:t>
            </w:r>
          </w:p>
        </w:tc>
        <w:tc>
          <w:tcPr>
            <w:tcW w:w="40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i w:val="0"/>
                <w:color w:val="000000"/>
                <w:sz w:val="18"/>
                <w:szCs w:val="18"/>
              </w:rPr>
              <w:t>4,015,425.15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9" w:hRule="atLeast"/>
        </w:trPr>
        <w:tc>
          <w:tcPr>
            <w:tcW w:w="58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firstLine="420"/>
              <w:jc w:val="left"/>
              <w:textAlignment w:val="baseline"/>
              <w:rPr>
                <w:rFonts w:hint="default" w:ascii="Times New Roman" w:hAnsi="Times New Roman" w:cs="Times New Roman"/>
                <w:sz w:val="24"/>
                <w:szCs w:val="24"/>
              </w:rPr>
            </w:pPr>
            <w:r>
              <w:rPr>
                <w:rFonts w:hint="eastAsia" w:ascii="宋体" w:hAnsi="宋体" w:eastAsia="宋体" w:cs="宋体"/>
                <w:i w:val="0"/>
                <w:caps w:val="0"/>
                <w:color w:val="000000"/>
                <w:spacing w:val="0"/>
                <w:sz w:val="21"/>
                <w:szCs w:val="21"/>
                <w:vertAlign w:val="baseline"/>
              </w:rPr>
              <w:t>其中：计入其他收益</w:t>
            </w:r>
          </w:p>
        </w:tc>
        <w:tc>
          <w:tcPr>
            <w:tcW w:w="40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i w:val="0"/>
                <w:color w:val="000000"/>
                <w:sz w:val="18"/>
                <w:szCs w:val="18"/>
              </w:rPr>
              <w:t>3,912,425.15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71" w:hRule="atLeast"/>
        </w:trPr>
        <w:tc>
          <w:tcPr>
            <w:tcW w:w="58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firstLine="420"/>
              <w:jc w:val="left"/>
              <w:textAlignment w:val="baseline"/>
              <w:rPr>
                <w:rFonts w:hint="default" w:ascii="Times New Roman" w:hAnsi="Times New Roman" w:cs="Times New Roman"/>
                <w:sz w:val="24"/>
                <w:szCs w:val="24"/>
              </w:rPr>
            </w:pPr>
            <w:r>
              <w:rPr>
                <w:rFonts w:hint="eastAsia" w:ascii="宋体" w:hAnsi="宋体" w:eastAsia="宋体" w:cs="宋体"/>
                <w:i w:val="0"/>
                <w:caps w:val="0"/>
                <w:color w:val="000000"/>
                <w:spacing w:val="0"/>
                <w:sz w:val="21"/>
                <w:szCs w:val="21"/>
                <w:vertAlign w:val="baseline"/>
              </w:rPr>
              <w:t>其中：计入营业外收入</w:t>
            </w:r>
          </w:p>
        </w:tc>
        <w:tc>
          <w:tcPr>
            <w:tcW w:w="40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i w:val="0"/>
                <w:color w:val="000000"/>
                <w:sz w:val="18"/>
                <w:szCs w:val="18"/>
              </w:rPr>
              <w:t>103,000.00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78" w:hRule="atLeast"/>
        </w:trPr>
        <w:tc>
          <w:tcPr>
            <w:tcW w:w="58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firstLine="210"/>
              <w:jc w:val="left"/>
              <w:textAlignment w:val="baseline"/>
              <w:rPr>
                <w:rFonts w:hint="default" w:ascii="Times New Roman" w:hAnsi="Times New Roman" w:cs="Times New Roman"/>
                <w:sz w:val="24"/>
                <w:szCs w:val="24"/>
              </w:rPr>
            </w:pPr>
            <w:r>
              <w:rPr>
                <w:rFonts w:hint="eastAsia" w:ascii="宋体" w:hAnsi="宋体" w:eastAsia="宋体" w:cs="宋体"/>
                <w:i w:val="0"/>
                <w:caps w:val="0"/>
                <w:color w:val="000000"/>
                <w:spacing w:val="0"/>
                <w:sz w:val="21"/>
                <w:szCs w:val="21"/>
                <w:vertAlign w:val="baseline"/>
              </w:rPr>
              <w:t>合  计</w:t>
            </w:r>
          </w:p>
        </w:tc>
        <w:tc>
          <w:tcPr>
            <w:tcW w:w="40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4"/>
                <w:szCs w:val="24"/>
              </w:rPr>
            </w:pPr>
            <w:r>
              <w:rPr>
                <w:rFonts w:hint="eastAsia" w:ascii="宋体" w:hAnsi="宋体" w:eastAsia="宋体" w:cs="宋体"/>
                <w:i w:val="0"/>
                <w:color w:val="000000"/>
                <w:sz w:val="18"/>
                <w:szCs w:val="18"/>
              </w:rPr>
              <w:t>11,039,425.15</w:t>
            </w:r>
          </w:p>
        </w:tc>
      </w:tr>
    </w:tbl>
    <w:p>
      <w:pPr>
        <w:keepNext/>
        <w:keepLines/>
        <w:spacing w:before="300" w:after="300" w:line="320" w:lineRule="exact"/>
        <w:jc w:val="left"/>
        <w:outlineLvl w:val="1"/>
        <w:rPr>
          <w:rFonts w:ascii="宋体" w:hAnsi="宋体" w:eastAsia="宋体" w:cs="宋体"/>
          <w:b/>
          <w:bCs/>
          <w:sz w:val="24"/>
          <w:szCs w:val="24"/>
        </w:rPr>
      </w:pPr>
      <w:bookmarkStart w:id="454" w:name="_Toc989343"/>
      <w:r>
        <w:rPr>
          <w:rFonts w:ascii="宋体" w:hAnsi="宋体" w:eastAsia="宋体" w:cs="宋体"/>
          <w:b/>
          <w:bCs/>
          <w:sz w:val="24"/>
          <w:szCs w:val="24"/>
        </w:rPr>
        <w:t>十二、与金融工具相关的风险</w:t>
      </w:r>
      <w:bookmarkEnd w:id="454"/>
    </w:p>
    <w:p>
      <w:pPr>
        <w:keepNext/>
        <w:keepLines/>
        <w:spacing w:before="300" w:after="300" w:line="280" w:lineRule="exact"/>
        <w:jc w:val="left"/>
        <w:outlineLvl w:val="2"/>
        <w:rPr>
          <w:rFonts w:ascii="宋体" w:hAnsi="宋体" w:eastAsia="宋体" w:cs="宋体"/>
          <w:b/>
          <w:bCs/>
          <w:sz w:val="21"/>
          <w:szCs w:val="21"/>
        </w:rPr>
      </w:pPr>
      <w:bookmarkStart w:id="455" w:name="_Toc989344"/>
      <w:r>
        <w:rPr>
          <w:rFonts w:ascii="宋体" w:hAnsi="宋体" w:eastAsia="宋体" w:cs="宋体"/>
          <w:b/>
          <w:bCs/>
          <w:sz w:val="21"/>
          <w:szCs w:val="21"/>
        </w:rPr>
        <w:t>1、金融工具产生的各类风险</w:t>
      </w:r>
      <w:bookmarkEnd w:id="455"/>
    </w:p>
    <w:p>
      <w:pPr>
        <w:keepNext/>
        <w:keepLines/>
        <w:spacing w:before="300" w:after="300" w:line="280" w:lineRule="exact"/>
        <w:jc w:val="left"/>
        <w:outlineLvl w:val="2"/>
        <w:rPr>
          <w:rFonts w:ascii="宋体" w:hAnsi="宋体" w:eastAsia="宋体" w:cs="宋体"/>
          <w:b/>
          <w:bCs/>
          <w:sz w:val="21"/>
          <w:szCs w:val="21"/>
        </w:rPr>
      </w:pPr>
      <w:bookmarkStart w:id="456" w:name="_Toc989345"/>
      <w:r>
        <w:rPr>
          <w:rFonts w:ascii="宋体" w:hAnsi="宋体" w:eastAsia="宋体" w:cs="宋体"/>
          <w:b/>
          <w:bCs/>
          <w:sz w:val="21"/>
          <w:szCs w:val="21"/>
        </w:rPr>
        <w:t>2、套期</w:t>
      </w:r>
      <w:bookmarkEnd w:id="456"/>
    </w:p>
    <w:p>
      <w:pPr>
        <w:keepNext/>
        <w:keepLines/>
        <w:spacing w:before="300" w:after="300" w:line="280" w:lineRule="exact"/>
        <w:jc w:val="left"/>
        <w:outlineLvl w:val="4"/>
        <w:rPr>
          <w:rFonts w:ascii="宋体" w:hAnsi="宋体" w:eastAsia="宋体" w:cs="宋体"/>
          <w:b/>
          <w:bCs/>
          <w:sz w:val="18"/>
          <w:szCs w:val="18"/>
        </w:rPr>
      </w:pPr>
      <w:bookmarkStart w:id="457" w:name="_Toc989346"/>
      <w:r>
        <w:rPr>
          <w:rFonts w:ascii="宋体" w:hAnsi="宋体" w:eastAsia="宋体" w:cs="宋体"/>
          <w:b/>
          <w:bCs/>
          <w:sz w:val="18"/>
          <w:szCs w:val="18"/>
        </w:rPr>
        <w:t>（1） 公司开展套期业务进行风险管理</w:t>
      </w:r>
      <w:bookmarkEnd w:id="457"/>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4"/>
        <w:rPr>
          <w:rFonts w:ascii="宋体" w:hAnsi="宋体" w:eastAsia="宋体" w:cs="宋体"/>
          <w:b/>
          <w:bCs/>
          <w:sz w:val="18"/>
          <w:szCs w:val="18"/>
        </w:rPr>
      </w:pPr>
      <w:bookmarkStart w:id="458" w:name="_Toc989347"/>
      <w:r>
        <w:rPr>
          <w:rFonts w:ascii="宋体" w:hAnsi="宋体" w:eastAsia="宋体" w:cs="宋体"/>
          <w:b/>
          <w:bCs/>
          <w:sz w:val="18"/>
          <w:szCs w:val="18"/>
        </w:rPr>
        <w:t>（2） 公司开展符合条件套期业务并应用套期会计</w:t>
      </w:r>
      <w:bookmarkEnd w:id="45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与被套期项目以及套期工具相关账面价值</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已确认的被套期项目账面价值中所包含的被套期项目累计公允价值套期调整</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套期有效性和套期无效部分来源</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套期会计对公司的财务报表相关影响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套期风险类型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套期类别</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459" w:name="_Toc989348"/>
      <w:r>
        <w:rPr>
          <w:rFonts w:ascii="宋体" w:hAnsi="宋体" w:eastAsia="宋体" w:cs="宋体"/>
          <w:b/>
          <w:bCs/>
          <w:sz w:val="18"/>
          <w:szCs w:val="18"/>
        </w:rPr>
        <w:t>（3） 公司开展套期业务进行风险管理、预期能实现风险管理目标但未应用套期会计</w:t>
      </w:r>
      <w:bookmarkEnd w:id="459"/>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460" w:name="_Toc989349"/>
      <w:r>
        <w:rPr>
          <w:rFonts w:ascii="宋体" w:hAnsi="宋体" w:eastAsia="宋体" w:cs="宋体"/>
          <w:b/>
          <w:bCs/>
          <w:sz w:val="21"/>
          <w:szCs w:val="21"/>
        </w:rPr>
        <w:t>3、金融资产</w:t>
      </w:r>
      <w:bookmarkEnd w:id="460"/>
    </w:p>
    <w:p>
      <w:pPr>
        <w:keepNext/>
        <w:keepLines/>
        <w:spacing w:before="300" w:after="300" w:line="280" w:lineRule="exact"/>
        <w:jc w:val="left"/>
        <w:outlineLvl w:val="3"/>
        <w:rPr>
          <w:rFonts w:ascii="宋体" w:hAnsi="宋体" w:eastAsia="宋体" w:cs="宋体"/>
          <w:b/>
          <w:bCs/>
          <w:sz w:val="18"/>
          <w:szCs w:val="18"/>
        </w:rPr>
      </w:pPr>
      <w:bookmarkStart w:id="461" w:name="_Toc989350"/>
      <w:r>
        <w:rPr>
          <w:rFonts w:ascii="宋体" w:hAnsi="宋体" w:eastAsia="宋体" w:cs="宋体"/>
          <w:b/>
          <w:bCs/>
          <w:sz w:val="18"/>
          <w:szCs w:val="18"/>
        </w:rPr>
        <w:t>（1） 转移方式分类</w:t>
      </w:r>
      <w:bookmarkEnd w:id="461"/>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18"/>
          <w:szCs w:val="18"/>
        </w:rPr>
      </w:pPr>
      <w:bookmarkStart w:id="462" w:name="_Toc989351"/>
      <w:r>
        <w:rPr>
          <w:rFonts w:ascii="宋体" w:hAnsi="宋体" w:eastAsia="宋体" w:cs="宋体"/>
          <w:b/>
          <w:bCs/>
          <w:sz w:val="18"/>
          <w:szCs w:val="18"/>
        </w:rPr>
        <w:t>（2） 因转移而终止确认的金融资产</w:t>
      </w:r>
      <w:bookmarkEnd w:id="462"/>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18"/>
          <w:szCs w:val="18"/>
        </w:rPr>
      </w:pPr>
      <w:bookmarkStart w:id="463" w:name="_Toc989352"/>
      <w:r>
        <w:rPr>
          <w:rFonts w:ascii="宋体" w:hAnsi="宋体" w:eastAsia="宋体" w:cs="宋体"/>
          <w:b/>
          <w:bCs/>
          <w:sz w:val="18"/>
          <w:szCs w:val="18"/>
        </w:rPr>
        <w:t>（3） 继续涉入的资产转移金融资产</w:t>
      </w:r>
      <w:bookmarkEnd w:id="463"/>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320" w:lineRule="exact"/>
        <w:jc w:val="left"/>
        <w:outlineLvl w:val="1"/>
        <w:rPr>
          <w:rFonts w:ascii="宋体" w:hAnsi="宋体" w:eastAsia="宋体" w:cs="宋体"/>
          <w:b/>
          <w:bCs/>
          <w:sz w:val="24"/>
          <w:szCs w:val="24"/>
        </w:rPr>
      </w:pPr>
      <w:bookmarkStart w:id="464" w:name="_Toc989353"/>
      <w:r>
        <w:rPr>
          <w:rFonts w:ascii="宋体" w:hAnsi="宋体" w:eastAsia="宋体" w:cs="宋体"/>
          <w:b/>
          <w:bCs/>
          <w:sz w:val="24"/>
          <w:szCs w:val="24"/>
        </w:rPr>
        <w:t>十三、公允价值的披露</w:t>
      </w:r>
      <w:bookmarkEnd w:id="464"/>
    </w:p>
    <w:p>
      <w:pPr>
        <w:keepNext/>
        <w:keepLines/>
        <w:spacing w:before="300" w:after="300" w:line="280" w:lineRule="exact"/>
        <w:jc w:val="left"/>
        <w:outlineLvl w:val="2"/>
        <w:rPr>
          <w:rFonts w:ascii="宋体" w:hAnsi="宋体" w:eastAsia="宋体" w:cs="宋体"/>
          <w:b/>
          <w:bCs/>
          <w:sz w:val="21"/>
          <w:szCs w:val="21"/>
        </w:rPr>
      </w:pPr>
      <w:bookmarkStart w:id="465" w:name="_Toc989354"/>
      <w:r>
        <w:rPr>
          <w:rFonts w:ascii="宋体" w:hAnsi="宋体" w:eastAsia="宋体" w:cs="宋体"/>
          <w:b/>
          <w:bCs/>
          <w:sz w:val="21"/>
          <w:szCs w:val="21"/>
        </w:rPr>
        <w:t>1、以公允价值计量的资产和负债的期末公允价值</w:t>
      </w:r>
      <w:bookmarkEnd w:id="46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7712"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期末公允价值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第一层次公允价值计量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第二层次公允价值计量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第三层次公允价值计量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一、持续的公允价值计量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（一）交易性金融资产</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1.以公允价值计量且其变动计入当期损益的金融资产</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（2）权益工具投资</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（三）其他权益工具投资</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334,535,783.49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334,535,783.49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持续以公允价值计量的资产总额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335,535,783.49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335,535,783.49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二、非持续的公允价值计量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r>
    </w:tbl>
    <w:p>
      <w:pPr>
        <w:keepNext/>
        <w:keepLines/>
        <w:spacing w:before="300" w:after="300" w:line="280" w:lineRule="exact"/>
        <w:jc w:val="left"/>
        <w:outlineLvl w:val="2"/>
        <w:rPr>
          <w:rFonts w:ascii="宋体" w:hAnsi="宋体" w:eastAsia="宋体" w:cs="宋体"/>
          <w:b/>
          <w:bCs/>
          <w:sz w:val="21"/>
          <w:szCs w:val="21"/>
        </w:rPr>
      </w:pPr>
      <w:bookmarkStart w:id="466" w:name="_Toc989355"/>
      <w:r>
        <w:rPr>
          <w:rFonts w:ascii="宋体" w:hAnsi="宋体" w:eastAsia="宋体" w:cs="宋体"/>
          <w:b/>
          <w:bCs/>
          <w:sz w:val="21"/>
          <w:szCs w:val="21"/>
        </w:rPr>
        <w:t>2、持续和非持续第一层次公允价值计量项目市价的确定依据</w:t>
      </w:r>
      <w:bookmarkEnd w:id="466"/>
    </w:p>
    <w:p>
      <w:pPr>
        <w:keepNext/>
        <w:keepLines/>
        <w:spacing w:before="300" w:after="300" w:line="280" w:lineRule="exact"/>
        <w:jc w:val="left"/>
        <w:outlineLvl w:val="2"/>
        <w:rPr>
          <w:rFonts w:ascii="宋体" w:hAnsi="宋体" w:eastAsia="宋体" w:cs="宋体"/>
          <w:b/>
          <w:bCs/>
          <w:sz w:val="21"/>
          <w:szCs w:val="21"/>
        </w:rPr>
      </w:pPr>
      <w:bookmarkStart w:id="467" w:name="_Toc989356"/>
      <w:r>
        <w:rPr>
          <w:rFonts w:ascii="宋体" w:hAnsi="宋体" w:eastAsia="宋体" w:cs="宋体"/>
          <w:b/>
          <w:bCs/>
          <w:sz w:val="21"/>
          <w:szCs w:val="21"/>
        </w:rPr>
        <w:t>3、持续和非持续第二层次公允价值计量项目，采用的估值技术和重要参数的定性及定量信息</w:t>
      </w:r>
      <w:bookmarkEnd w:id="467"/>
    </w:p>
    <w:p>
      <w:pPr>
        <w:keepNext/>
        <w:keepLines/>
        <w:spacing w:before="300" w:after="300" w:line="280" w:lineRule="exact"/>
        <w:jc w:val="left"/>
        <w:outlineLvl w:val="2"/>
        <w:rPr>
          <w:rFonts w:ascii="宋体" w:hAnsi="宋体" w:eastAsia="宋体" w:cs="宋体"/>
          <w:b/>
          <w:bCs/>
          <w:sz w:val="21"/>
          <w:szCs w:val="21"/>
        </w:rPr>
      </w:pPr>
      <w:bookmarkStart w:id="468" w:name="_Toc989357"/>
      <w:r>
        <w:rPr>
          <w:rFonts w:ascii="宋体" w:hAnsi="宋体" w:eastAsia="宋体" w:cs="宋体"/>
          <w:b/>
          <w:bCs/>
          <w:sz w:val="21"/>
          <w:szCs w:val="21"/>
        </w:rPr>
        <w:t>4、持续和非持续第三层次公允价值计量项目，采用的估值技术和重要参数的定性及定量信息</w:t>
      </w:r>
      <w:bookmarkEnd w:id="468"/>
    </w:p>
    <w:p>
      <w:pPr>
        <w:keepNext/>
        <w:keepLines/>
        <w:spacing w:before="300" w:after="300" w:line="280" w:lineRule="exact"/>
        <w:jc w:val="left"/>
        <w:outlineLvl w:val="2"/>
        <w:rPr>
          <w:rFonts w:ascii="宋体" w:hAnsi="宋体" w:eastAsia="宋体" w:cs="宋体"/>
          <w:b/>
          <w:bCs/>
          <w:sz w:val="21"/>
          <w:szCs w:val="21"/>
        </w:rPr>
      </w:pPr>
      <w:bookmarkStart w:id="469" w:name="_Toc989358"/>
      <w:r>
        <w:rPr>
          <w:rFonts w:ascii="宋体" w:hAnsi="宋体" w:eastAsia="宋体" w:cs="宋体"/>
          <w:b/>
          <w:bCs/>
          <w:sz w:val="21"/>
          <w:szCs w:val="21"/>
        </w:rPr>
        <w:t>5、持续的第三层次公允价值计量项目，期初与期末账面价值间的调节信息及不可观察参数敏感性分析</w:t>
      </w:r>
      <w:bookmarkEnd w:id="469"/>
    </w:p>
    <w:p>
      <w:pPr>
        <w:keepNext/>
        <w:keepLines/>
        <w:spacing w:before="300" w:after="300" w:line="280" w:lineRule="exact"/>
        <w:jc w:val="left"/>
        <w:outlineLvl w:val="2"/>
        <w:rPr>
          <w:rFonts w:ascii="宋体" w:hAnsi="宋体" w:eastAsia="宋体" w:cs="宋体"/>
          <w:b/>
          <w:bCs/>
          <w:sz w:val="21"/>
          <w:szCs w:val="21"/>
        </w:rPr>
      </w:pPr>
      <w:bookmarkStart w:id="470" w:name="_Toc989359"/>
      <w:r>
        <w:rPr>
          <w:rFonts w:ascii="宋体" w:hAnsi="宋体" w:eastAsia="宋体" w:cs="宋体"/>
          <w:b/>
          <w:bCs/>
          <w:sz w:val="21"/>
          <w:szCs w:val="21"/>
        </w:rPr>
        <w:t>6、持续的公允价值计量项目，本期内发生各层级之间转换的，转换的原因及确定转换时点的政策</w:t>
      </w:r>
      <w:bookmarkEnd w:id="470"/>
    </w:p>
    <w:p>
      <w:pPr>
        <w:keepNext/>
        <w:keepLines/>
        <w:spacing w:before="300" w:after="300" w:line="280" w:lineRule="exact"/>
        <w:jc w:val="left"/>
        <w:outlineLvl w:val="2"/>
        <w:rPr>
          <w:rFonts w:ascii="宋体" w:hAnsi="宋体" w:eastAsia="宋体" w:cs="宋体"/>
          <w:b/>
          <w:bCs/>
          <w:sz w:val="21"/>
          <w:szCs w:val="21"/>
        </w:rPr>
      </w:pPr>
      <w:bookmarkStart w:id="471" w:name="_Toc989360"/>
      <w:r>
        <w:rPr>
          <w:rFonts w:ascii="宋体" w:hAnsi="宋体" w:eastAsia="宋体" w:cs="宋体"/>
          <w:b/>
          <w:bCs/>
          <w:sz w:val="21"/>
          <w:szCs w:val="21"/>
        </w:rPr>
        <w:t>7、本期内发生的估值技术变更及变更原因</w:t>
      </w:r>
      <w:bookmarkEnd w:id="471"/>
    </w:p>
    <w:p>
      <w:pPr>
        <w:keepNext/>
        <w:keepLines/>
        <w:spacing w:before="300" w:after="300" w:line="280" w:lineRule="exact"/>
        <w:jc w:val="left"/>
        <w:outlineLvl w:val="2"/>
        <w:rPr>
          <w:rFonts w:ascii="宋体" w:hAnsi="宋体" w:eastAsia="宋体" w:cs="宋体"/>
          <w:b/>
          <w:bCs/>
          <w:sz w:val="21"/>
          <w:szCs w:val="21"/>
        </w:rPr>
      </w:pPr>
      <w:bookmarkStart w:id="472" w:name="_Toc989361"/>
      <w:r>
        <w:rPr>
          <w:rFonts w:ascii="宋体" w:hAnsi="宋体" w:eastAsia="宋体" w:cs="宋体"/>
          <w:b/>
          <w:bCs/>
          <w:sz w:val="21"/>
          <w:szCs w:val="21"/>
        </w:rPr>
        <w:t>8、不以公允价值计量的金融资产和金融负债的公允价值情况</w:t>
      </w:r>
      <w:bookmarkEnd w:id="472"/>
    </w:p>
    <w:p>
      <w:pPr>
        <w:keepNext/>
        <w:keepLines/>
        <w:spacing w:before="300" w:after="300" w:line="280" w:lineRule="exact"/>
        <w:jc w:val="left"/>
        <w:outlineLvl w:val="2"/>
        <w:rPr>
          <w:rFonts w:ascii="宋体" w:hAnsi="宋体" w:eastAsia="宋体" w:cs="宋体"/>
          <w:b/>
          <w:bCs/>
          <w:sz w:val="21"/>
          <w:szCs w:val="21"/>
        </w:rPr>
      </w:pPr>
      <w:bookmarkStart w:id="473" w:name="_Toc989362"/>
      <w:r>
        <w:rPr>
          <w:rFonts w:ascii="宋体" w:hAnsi="宋体" w:eastAsia="宋体" w:cs="宋体"/>
          <w:b/>
          <w:bCs/>
          <w:sz w:val="21"/>
          <w:szCs w:val="21"/>
        </w:rPr>
        <w:t>9、其他</w:t>
      </w:r>
      <w:bookmarkEnd w:id="473"/>
    </w:p>
    <w:p>
      <w:pPr>
        <w:keepNext/>
        <w:keepLines/>
        <w:spacing w:before="300" w:after="300" w:line="320" w:lineRule="exact"/>
        <w:jc w:val="left"/>
        <w:outlineLvl w:val="1"/>
        <w:rPr>
          <w:rFonts w:ascii="宋体" w:hAnsi="宋体" w:eastAsia="宋体" w:cs="宋体"/>
          <w:b/>
          <w:bCs/>
          <w:sz w:val="24"/>
          <w:szCs w:val="24"/>
        </w:rPr>
      </w:pPr>
      <w:bookmarkStart w:id="474" w:name="_Toc989363"/>
      <w:r>
        <w:rPr>
          <w:rFonts w:ascii="宋体" w:hAnsi="宋体" w:eastAsia="宋体" w:cs="宋体"/>
          <w:b/>
          <w:bCs/>
          <w:sz w:val="24"/>
          <w:szCs w:val="24"/>
        </w:rPr>
        <w:t>十四、关联方及关联交易</w:t>
      </w:r>
      <w:bookmarkEnd w:id="474"/>
    </w:p>
    <w:p>
      <w:pPr>
        <w:keepNext/>
        <w:keepLines/>
        <w:spacing w:before="300" w:after="300" w:line="280" w:lineRule="exact"/>
        <w:jc w:val="left"/>
        <w:outlineLvl w:val="2"/>
        <w:rPr>
          <w:rFonts w:ascii="宋体" w:hAnsi="宋体" w:eastAsia="宋体" w:cs="宋体"/>
          <w:b/>
          <w:bCs/>
          <w:sz w:val="21"/>
          <w:szCs w:val="21"/>
        </w:rPr>
      </w:pPr>
      <w:bookmarkStart w:id="475" w:name="_Toc989364"/>
      <w:r>
        <w:rPr>
          <w:rFonts w:ascii="宋体" w:hAnsi="宋体" w:eastAsia="宋体" w:cs="宋体"/>
          <w:b/>
          <w:bCs/>
          <w:sz w:val="21"/>
          <w:szCs w:val="21"/>
        </w:rPr>
        <w:t>1、本企业的母公司情况</w:t>
      </w:r>
      <w:bookmarkEnd w:id="475"/>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母公司名称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注册地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业务性质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注册资本</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母公司对本企业的持股比例</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母公司对本企业的表决权比例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国家电投集团吉林能源投资有限公司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能源交通开发建设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3,777,779,586.92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26.19%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26.19%</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本企业的母公司情况的说明</w:t>
      </w:r>
    </w:p>
    <w:p>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18"/>
          <w:szCs w:val="18"/>
        </w:rPr>
        <w:t>本企业最终控制方是国务院国有资产监督管理委员会。</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本企业最终控制方是。</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476" w:name="_Toc989365"/>
      <w:r>
        <w:rPr>
          <w:rFonts w:ascii="宋体" w:hAnsi="宋体" w:eastAsia="宋体" w:cs="宋体"/>
          <w:b/>
          <w:bCs/>
          <w:sz w:val="21"/>
          <w:szCs w:val="21"/>
        </w:rPr>
        <w:t>2、本企业的子公司情况</w:t>
      </w:r>
      <w:bookmarkEnd w:id="476"/>
    </w:p>
    <w:p>
      <w:pPr>
        <w:spacing w:before="40" w:after="40" w:line="240" w:lineRule="exact"/>
        <w:jc w:val="left"/>
        <w:rPr>
          <w:rFonts w:ascii="宋体" w:hAnsi="宋体" w:eastAsia="宋体" w:cs="宋体"/>
          <w:sz w:val="18"/>
          <w:szCs w:val="18"/>
        </w:rPr>
      </w:pPr>
      <w:r>
        <w:rPr>
          <w:rFonts w:ascii="宋体" w:hAnsi="宋体" w:eastAsia="宋体" w:cs="宋体"/>
          <w:sz w:val="18"/>
          <w:szCs w:val="18"/>
        </w:rPr>
        <w:t>本企业子公司的情况详见附注十。</w:t>
      </w:r>
    </w:p>
    <w:p>
      <w:pPr>
        <w:keepNext/>
        <w:keepLines/>
        <w:spacing w:before="300" w:after="300" w:line="280" w:lineRule="exact"/>
        <w:jc w:val="left"/>
        <w:outlineLvl w:val="2"/>
        <w:rPr>
          <w:rFonts w:ascii="宋体" w:hAnsi="宋体" w:eastAsia="宋体" w:cs="宋体"/>
          <w:b/>
          <w:bCs/>
          <w:sz w:val="21"/>
          <w:szCs w:val="21"/>
        </w:rPr>
      </w:pPr>
      <w:bookmarkStart w:id="477" w:name="_Toc989366"/>
      <w:r>
        <w:rPr>
          <w:rFonts w:ascii="宋体" w:hAnsi="宋体" w:eastAsia="宋体" w:cs="宋体"/>
          <w:b/>
          <w:bCs/>
          <w:sz w:val="21"/>
          <w:szCs w:val="21"/>
        </w:rPr>
        <w:t>3、本企业合营和联营企业情况</w:t>
      </w:r>
      <w:bookmarkEnd w:id="477"/>
    </w:p>
    <w:p>
      <w:pPr>
        <w:spacing w:before="40" w:after="40" w:line="240" w:lineRule="exact"/>
        <w:jc w:val="left"/>
        <w:rPr>
          <w:rFonts w:ascii="宋体" w:hAnsi="宋体" w:eastAsia="宋体" w:cs="宋体"/>
          <w:sz w:val="18"/>
          <w:szCs w:val="18"/>
        </w:rPr>
      </w:pPr>
      <w:r>
        <w:rPr>
          <w:rFonts w:ascii="宋体" w:hAnsi="宋体" w:eastAsia="宋体" w:cs="宋体"/>
          <w:sz w:val="18"/>
          <w:szCs w:val="18"/>
        </w:rPr>
        <w:t>本企业重要的合营或联营企业详见附注十。</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本期与本公司发生关联方交易，或前期与本公司发生关联方交易形成余额的其他合营或联营企业情况如下：</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合营或联营企业名称</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与本企业关系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吉电憧憬（吉林）新能源发展有限公司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吉电未来智维能源科技（吉林）有限公司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吉林省吉电国际贸易有限公司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吉林省吉电能源服务有限公司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深圳市吉电盈晟新能源投资有限公司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沈阳远达环保工程有限公司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潍坊捷凯能源管理有限公司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联营企业</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478" w:name="_Toc989367"/>
      <w:r>
        <w:rPr>
          <w:rFonts w:ascii="宋体" w:hAnsi="宋体" w:eastAsia="宋体" w:cs="宋体"/>
          <w:b/>
          <w:bCs/>
          <w:sz w:val="21"/>
          <w:szCs w:val="21"/>
        </w:rPr>
        <w:t>4、其他关联方情况</w:t>
      </w:r>
      <w:bookmarkEnd w:id="478"/>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其他关联方名称</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其他关联方与本企业关系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吉林省电力科学研究院有限公司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参股企业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吉林省博大生化有限公司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母公司的联营企业</w:t>
            </w:r>
          </w:p>
        </w:tc>
      </w:tr>
      <w:tr>
        <w:tblPrEx>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国电南瑞吉电新能源（南京）有限公司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母公司的联营企业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中电投融和融资租赁有限公司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其他关联方</w:t>
            </w:r>
          </w:p>
        </w:tc>
      </w:tr>
      <w:tr>
        <w:tblPrEx>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中能融合智慧科技有限公司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其他关联方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白山吉电能源开发有限公司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受同一母公司控制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白山明珠产业园区管理有限公司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受同一母公司控制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国电投国际贸易（北京）有限公司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受同一母公司控制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内蒙古吉电能源有限公司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受同一母公司控制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苏尼特左旗风鼎发电有限公司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受同一母公司控制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安徽淮南平圩发电有限责任公司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百瑞信托有限责任公司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北京宝之谷农业科技开发有限公司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北京融和云链科技有限公司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北京中电汇智科技有限公司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朝阳燕山湖发电有限公司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澄城秦阳新能源有限公司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大连发电有限责任公司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电能（北京）工程监理有限公司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电能易购（北京）科技有限公司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凤台中电生物质发电有限公司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广西国电投博能售电有限公司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国电投（深圳）能源发展有限公司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国电投山西能源服务有限公司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国核电力规划设计研究院有限公司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国核电力规划设计研究院重庆有限公司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国核电站运行服务技术有限公司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国核吉林核电有限公司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国核信息科技有限公司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国核自仪系统工程有限公司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国家电投（芜湖）售电有限公司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国家电投集团电站运营技术（北京）有限公司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国家电投集团东北电力有限公司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国家电投集团甘肃售电有限公司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国家电投集团黑龙江新能源有限公司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国家电投集团江苏综合能源供应有限公司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国家电投集团江西水电检修安装工程有限公司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国家电投集团科学技术研究院有限公司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国家电投集团内蒙古白音华煤电有限公司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国家电投集团山南电力有限公司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国家电投集团山西铝业有限公司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国家电投集团陕西售电有限公司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国家电投集团数字科技有限公司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国家电投集团碳资产管理有限公司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国家电投集团远达环保催化剂有限公司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国家电投集团远达环保工程有限公司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国家电投集团远达水务有限公司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国家电投集团综合智慧能源科技有限公司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河北洁蓝新能源科技有限公司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河北亮能售电有限公司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湖南五凌电力科技有限公司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建德晶科光伏发电有限公司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缙云县晶科光伏发电有限公司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靖宇宏核新能源有限公司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辽宁清河电力检修有限责任公司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龙州县百熠新能源科技有限公司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南昌市新建区昌达电力培训中心有限公司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内蒙古白音华蒙东露天煤业有限公司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内蒙古电投能源股份有限公司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青海黄河上游水电开发有限责任公司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山东电力工程咨询院有限公司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山东泛能能源发展研究院有限公司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山东国电投能源营销有限公司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山东核电设备制造有限公司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山西中电神头第二发电有限责任公司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上海发电设备成套设计研究院有限责任公司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上海明华电力科技有限公司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上海能源科技发展有限公司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上海中电投电力设备有限公司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上海中电新能源置业发展有限公司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石家庄绿燃新能源发电有限公司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铁岭市清河电力监理有限责任公司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延安能源开发有限责任公司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云南翠源物资商贸发展有限公司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扎鲁特旗扎哈淖尔煤业有限公司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长春绿动氢能科技有限公司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中电（沈阳）能源投资有限公司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中电华创电力技术研究有限公司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中电投东北能源科技有限公司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中电投新疆能源化工集团哈密有限公司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中国电能成套设备有限公司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重庆远达烟气治理特许经营有限公司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重庆中电自能科技有限公司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绿充（广州）科技有限公司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国家电投集团曲阳新能源发电有限公司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国家电投集团贵州金元股份有限公司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上海上电售电有限公司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国家电投集团河南电力有限公司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国家电投集团吉林能源投资有限公司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中电合肥能源有限公司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国家电投集团湖北售电有限公司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国电投（山东）能源服务有限公司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电能（北京）认证中心有限公司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锡林浩特市京运通风力发电有限公司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受同一母公司控制</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479" w:name="_Toc989368"/>
      <w:r>
        <w:rPr>
          <w:rFonts w:ascii="宋体" w:hAnsi="宋体" w:eastAsia="宋体" w:cs="宋体"/>
          <w:b/>
          <w:bCs/>
          <w:sz w:val="21"/>
          <w:szCs w:val="21"/>
        </w:rPr>
        <w:t>5、关联交易情况</w:t>
      </w:r>
      <w:bookmarkEnd w:id="479"/>
    </w:p>
    <w:p>
      <w:pPr>
        <w:keepNext/>
        <w:keepLines/>
        <w:spacing w:before="300" w:after="300" w:line="280" w:lineRule="exact"/>
        <w:jc w:val="left"/>
        <w:outlineLvl w:val="3"/>
        <w:rPr>
          <w:rFonts w:ascii="宋体" w:hAnsi="宋体" w:eastAsia="宋体" w:cs="宋体"/>
          <w:b/>
          <w:bCs/>
          <w:sz w:val="21"/>
          <w:szCs w:val="21"/>
        </w:rPr>
      </w:pPr>
      <w:bookmarkStart w:id="480" w:name="_Toc989369"/>
      <w:r>
        <w:rPr>
          <w:rFonts w:ascii="宋体" w:hAnsi="宋体" w:eastAsia="宋体" w:cs="宋体"/>
          <w:b/>
          <w:bCs/>
          <w:sz w:val="21"/>
          <w:szCs w:val="21"/>
        </w:rPr>
        <w:t>（1） 购销商品、提供和接受劳务的关联交易</w:t>
      </w:r>
      <w:bookmarkEnd w:id="480"/>
    </w:p>
    <w:p>
      <w:pPr>
        <w:spacing w:before="40" w:after="40" w:line="240" w:lineRule="exact"/>
        <w:jc w:val="left"/>
        <w:rPr>
          <w:rFonts w:ascii="宋体" w:hAnsi="宋体" w:eastAsia="宋体" w:cs="宋体"/>
          <w:sz w:val="18"/>
          <w:szCs w:val="18"/>
        </w:rPr>
      </w:pPr>
      <w:r>
        <w:rPr>
          <w:rFonts w:ascii="宋体" w:hAnsi="宋体" w:eastAsia="宋体" w:cs="宋体"/>
          <w:sz w:val="18"/>
          <w:szCs w:val="18"/>
        </w:rPr>
        <w:t>采购商品/接受劳务情况表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关联方</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关联交易内容</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获批的交易额度</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是否超过交易额度</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内蒙古电投能源股份有限公司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燃料采购</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350,306,881.66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423,421,608.58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扎鲁特旗扎哈淖尔煤业有限公司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燃料采购</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314,767,059.92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503,808,676.21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吉林省吉电国际贸易有限公司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燃料采购</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194,528,555.34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国家电投集团内蒙古白音华煤电有限公司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燃料采购</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106,685,752.22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126,235,177.14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内蒙古白音华蒙东露天煤业有限公司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燃料采购</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205,062,387.26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168,507,273.78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吉电未来智维能源科技（吉林）有限公司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服务费、委托运行费等</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76,353,122.61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93,784,535.49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总包配送服务费等</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39,849,911.47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30,430,737.03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国核电力规划设计研究院有限公司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工程款、技术服务费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35,881,894.65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63,519,459.64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山东电力工程咨询院有限公司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工程款、服务款、修理费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8,337,061.24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10,582,187.85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电能易购（北京）科技有限公司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材料款、设备款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55,756,855.76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23,614,122.99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上海发电设备成套设计研究院有限责任公司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总包配送服务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26,682,463.66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11,427,841.86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吉林省吉电能源服务有限公司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技术服务费、委托运行费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20,297,187.99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21,393,762.59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国家电投集团远达环保催化剂有限公司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服务款、材料款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2,765,734.50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国家电投集团数字科技有限公司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技术服务费、工程款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319,198.12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1,880,436.80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重庆中电自能科技有限公司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技术服务费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1,026,037.74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1,174,882.29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吉林省电力科学研究院有限公司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技术服务费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2,855,660.36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3,833,660.34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山东核电设备制造有限公司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设备款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25,165,308.97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23,975,929.20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中电投新疆能源化工集团哈密有限公司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委托运行费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4,393,125.00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3,334,242.00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中能融合智慧科技有限公司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信息化费用</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1,963,310.83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1,558,867.95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沈阳远达环保工程有限公司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接受劳务、运行服务费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2,885,027.17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2,934,421.09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国家电投集团山南电力有限公司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1,372,641.50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1,101,594.32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山东国电投能源营销有限公司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技术服务费、委托运行费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14,927.60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266,816.14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吉林省博大生化有限公司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材料款、燃料款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1,700,917.44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826,910.23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国家电投集团碳资产管理有限公司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283,018.86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188,679.24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上海能源科技发展有限公司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总包配送服务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352,967,165.58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19,252,294.32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电能（北京）工程监理有限公司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监理费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466,981.13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309,566.04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中国电能成套设备有限公司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材料款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94,339.62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89,037.00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国家电投集团电站运营技术（北京）有限公司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1,893.81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747.79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国电投山西能源服务有限公司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141,509.43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235,849.05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国家电投集团甘肃售电有限公司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164,773.58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山东泛能能源发展研究院有限公司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技术服务费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94,339.62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1,099,056.58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吉电憧憬（吉林）新能源发展有限公司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燃料采购</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36,761.77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长春绿动氢能科技有限公司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工程设备款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9,380,531.00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中电华创电力技术研究有限公司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技术服务费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5,030,499.96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1,018,645.29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国家电投集团江苏综合能源供应有限公司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咨询费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2,775.22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国家电投集团陕西售电有限公司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咨询费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528,301.89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330,188.67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广西国电投博能售电有限公司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技术服务费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23,584.91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23,584.91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国核信息科技有限公司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材料设备款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159,734.02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921,048.96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国核自仪系统工程有限公司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设备款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114,554.54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2,637,452.85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国电南瑞吉电新能源（南京）有限公司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设备款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9,230,973.46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潍坊捷凯能源管理有限公司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117,847.46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云南翠源物资商贸发展有限公司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青海黄河上游水电开发有限责任公司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226,179.25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539,086.73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北京宝之谷农业科技开发有限公司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943.40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河北亮能售电有限公司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33,589.25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国家电投（芜湖）售电有限公司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71,870.93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白山吉电能源开发有限公司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947,386.75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中电合肥能源有限公司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215,429.40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国家电投集团湖北售电有限公司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56,603.77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国电投（山东）能源服务有限公司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48,128.40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电能（北京）认证中心有限公司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66,037.74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bl>
    <w:p>
      <w:pPr>
        <w:spacing w:before="100" w:after="40" w:line="240" w:lineRule="exact"/>
        <w:jc w:val="left"/>
        <w:rPr>
          <w:rFonts w:ascii="宋体" w:hAnsi="宋体" w:eastAsia="宋体" w:cs="宋体"/>
          <w:sz w:val="18"/>
          <w:szCs w:val="18"/>
        </w:rPr>
      </w:pPr>
      <w:r>
        <w:rPr>
          <w:rFonts w:ascii="宋体" w:hAnsi="宋体" w:eastAsia="宋体" w:cs="宋体"/>
          <w:sz w:val="18"/>
          <w:szCs w:val="18"/>
        </w:rPr>
        <w:t>出售商品/提供劳务情况表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关联交易内容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吉电未来智维能源科技（吉林）有限公司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劳务费、培训费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9,747,878.01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4,500,567.73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国家电投集团山西铝业有限公司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1,886,712.46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3,677,735.85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龙州县百熠新能源科技有限公司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劳务费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996,485.35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1,010,039.72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内蒙古吉电能源有限公司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服务费、培训费、其他</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5,537.75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国电投国际贸易（北京）有限公司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材料销售</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13,207.54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建德晶科光伏发电有限公司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劳务费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497,749.03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缙云县晶科光伏发电有限公司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劳务费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437,576.24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苏尼特左旗风鼎发电有限公司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服务费、劳务费、培训费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10,377.34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锡林浩特市京运通风力发电有限公司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服务费、培训费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5,660.36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安徽淮南平圩发电有限责任公司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服务费、能源销售</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220,353.99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国核吉林核电有限公司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15,283.02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河北洁蓝新能源科技有限公司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47,169.81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山东国电投能源营销有限公司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1,726.27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10,476.90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国家电投集团科学技术研究院有限公司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9,433.96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重庆中电自能科技有限公司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575,188.76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1,635,602.92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延安能源开发有限责任公司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6,603.77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靖宇宏核新能源有限公司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1,698.11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凤台中电生物质发电有限公司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6,603.77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石家庄绿燃新能源发电有限公司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6,603.77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国家电投集团黑龙江新能源有限公司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145,283.02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中电（沈阳）能源投资有限公司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6,603.77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澄城秦阳新能源有限公司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6,603.77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长春绿动氢能科技有限公司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47,547.17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26,415.09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山西中电神头第二发电有限责任公司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19,811.31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188,679.24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2,252,670.84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吉林省吉电能源服务有限公司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9,509.10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2,830.18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中电华创电力技术研究有限公司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3,488,632.08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白山吉电能源开发有限公司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劳务费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10,148,318.59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国家电投集团曲阳新能源发电有限公司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549,765.95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朝阳燕山湖发电有限公司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3,309,044.56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绿充（广州）科技有限公司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劳务费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277,800.00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购销商品、提供和接受劳务的关联交易说明</w:t>
      </w:r>
    </w:p>
    <w:p>
      <w:pPr>
        <w:keepNext/>
        <w:keepLines/>
        <w:spacing w:before="300" w:after="300" w:line="280" w:lineRule="exact"/>
        <w:jc w:val="left"/>
        <w:outlineLvl w:val="3"/>
        <w:rPr>
          <w:rFonts w:ascii="宋体" w:hAnsi="宋体" w:eastAsia="宋体" w:cs="宋体"/>
          <w:b/>
          <w:bCs/>
          <w:sz w:val="21"/>
          <w:szCs w:val="21"/>
        </w:rPr>
      </w:pPr>
      <w:bookmarkStart w:id="481" w:name="_Toc989370"/>
      <w:r>
        <w:rPr>
          <w:rFonts w:ascii="宋体" w:hAnsi="宋体" w:eastAsia="宋体" w:cs="宋体"/>
          <w:b/>
          <w:bCs/>
          <w:sz w:val="21"/>
          <w:szCs w:val="21"/>
        </w:rPr>
        <w:t>（2） 关联受托管理/承包及委托管理/出包情况</w:t>
      </w:r>
      <w:bookmarkEnd w:id="481"/>
    </w:p>
    <w:p>
      <w:pPr>
        <w:spacing w:before="40" w:after="40" w:line="240" w:lineRule="exact"/>
        <w:jc w:val="left"/>
        <w:rPr>
          <w:rFonts w:ascii="宋体" w:hAnsi="宋体" w:eastAsia="宋体" w:cs="宋体"/>
          <w:sz w:val="18"/>
          <w:szCs w:val="18"/>
        </w:rPr>
      </w:pPr>
      <w:r>
        <w:rPr>
          <w:rFonts w:ascii="宋体" w:hAnsi="宋体" w:eastAsia="宋体" w:cs="宋体"/>
          <w:sz w:val="18"/>
          <w:szCs w:val="18"/>
        </w:rPr>
        <w:t>本公司受托管理/承包情况表：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委托方/出包方名称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受托方/承包方名称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受托/承包资产类型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受托/承包起始日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受托/承包终止日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托管收益/承包收益定价依据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本期确认的托管收益/承包收益</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关联托管/承包情况说明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本公司委托管理/出包情况表：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委托方/出包方名称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受托方/承包方名称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委托/出包资产类型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委托/出包起始日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委托/出包终止日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托管费/出包费定价依据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本期确认的托管费/出包费</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关联管理/出包情况说明</w:t>
      </w:r>
    </w:p>
    <w:p>
      <w:pPr>
        <w:keepNext/>
        <w:keepLines/>
        <w:spacing w:before="300" w:after="300" w:line="280" w:lineRule="exact"/>
        <w:jc w:val="left"/>
        <w:outlineLvl w:val="3"/>
        <w:rPr>
          <w:rFonts w:ascii="宋体" w:hAnsi="宋体" w:eastAsia="宋体" w:cs="宋体"/>
          <w:b/>
          <w:bCs/>
          <w:sz w:val="21"/>
          <w:szCs w:val="21"/>
        </w:rPr>
      </w:pPr>
      <w:bookmarkStart w:id="482" w:name="_Toc989371"/>
      <w:r>
        <w:rPr>
          <w:rFonts w:ascii="宋体" w:hAnsi="宋体" w:eastAsia="宋体" w:cs="宋体"/>
          <w:b/>
          <w:bCs/>
          <w:sz w:val="21"/>
          <w:szCs w:val="21"/>
        </w:rPr>
        <w:t>（3） 关联租赁情况</w:t>
      </w:r>
      <w:bookmarkEnd w:id="482"/>
    </w:p>
    <w:p>
      <w:pPr>
        <w:spacing w:before="40" w:after="40" w:line="240" w:lineRule="exact"/>
        <w:jc w:val="left"/>
        <w:rPr>
          <w:rFonts w:ascii="宋体" w:hAnsi="宋体" w:eastAsia="宋体" w:cs="宋体"/>
          <w:sz w:val="18"/>
          <w:szCs w:val="18"/>
        </w:rPr>
      </w:pPr>
      <w:r>
        <w:rPr>
          <w:rFonts w:ascii="宋体" w:hAnsi="宋体" w:eastAsia="宋体" w:cs="宋体"/>
          <w:sz w:val="18"/>
          <w:szCs w:val="18"/>
        </w:rPr>
        <w:t>本公司作为出租方：</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承租方名称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租赁资产种类</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本期确认的租赁收入</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上期确认的租赁收入</w:t>
            </w:r>
          </w:p>
        </w:tc>
      </w:tr>
    </w:tbl>
    <w:p>
      <w:pPr>
        <w:spacing w:before="100" w:after="40" w:line="240" w:lineRule="exact"/>
        <w:jc w:val="left"/>
        <w:rPr>
          <w:rFonts w:ascii="宋体" w:hAnsi="宋体" w:eastAsia="宋体" w:cs="宋体"/>
          <w:sz w:val="18"/>
          <w:szCs w:val="18"/>
        </w:rPr>
      </w:pPr>
      <w:r>
        <w:rPr>
          <w:rFonts w:ascii="宋体" w:hAnsi="宋体" w:eastAsia="宋体" w:cs="宋体"/>
          <w:sz w:val="18"/>
          <w:szCs w:val="18"/>
        </w:rPr>
        <w:t>本公司作为承租方：</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03"/>
        <w:gridCol w:w="803"/>
        <w:gridCol w:w="803"/>
        <w:gridCol w:w="803"/>
        <w:gridCol w:w="803"/>
        <w:gridCol w:w="803"/>
        <w:gridCol w:w="803"/>
        <w:gridCol w:w="803"/>
        <w:gridCol w:w="803"/>
        <w:gridCol w:w="803"/>
        <w:gridCol w:w="803"/>
        <w:gridCol w:w="8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出租方名称</w:t>
            </w:r>
          </w:p>
        </w:tc>
        <w:tc>
          <w:tcPr>
            <w:tcW w:w="8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租赁资产种类</w:t>
            </w:r>
          </w:p>
        </w:tc>
        <w:tc>
          <w:tcPr>
            <w:tcW w:w="160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简化处理的短期租赁和低价值资产租赁的租金费用（如适用）</w:t>
            </w:r>
          </w:p>
        </w:tc>
        <w:tc>
          <w:tcPr>
            <w:tcW w:w="160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未纳入租赁负债计量的可变租赁付款额（如适用）</w:t>
            </w:r>
          </w:p>
        </w:tc>
        <w:tc>
          <w:tcPr>
            <w:tcW w:w="160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支付的租金</w:t>
            </w:r>
          </w:p>
        </w:tc>
        <w:tc>
          <w:tcPr>
            <w:tcW w:w="160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承担的租赁负债利息支出</w:t>
            </w:r>
          </w:p>
        </w:tc>
        <w:tc>
          <w:tcPr>
            <w:tcW w:w="160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增加的使用权资产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vMerge w:val="continue"/>
            <w:tcBorders>
              <w:top w:val="single" w:color="auto" w:sz="2" w:space="0"/>
              <w:left w:val="single" w:color="auto" w:sz="2" w:space="0"/>
              <w:bottom w:val="single" w:color="auto" w:sz="2" w:space="0"/>
              <w:right w:val="single" w:color="auto" w:sz="2" w:space="0"/>
            </w:tcBorders>
            <w:vAlign w:val="center"/>
          </w:tcPr>
          <w:p/>
        </w:tc>
        <w:tc>
          <w:tcPr>
            <w:tcW w:w="803" w:type="dxa"/>
            <w:vMerge w:val="continue"/>
            <w:tcBorders>
              <w:top w:val="single" w:color="auto" w:sz="2" w:space="0"/>
              <w:left w:val="single" w:color="auto" w:sz="2" w:space="0"/>
              <w:bottom w:val="single" w:color="auto" w:sz="2" w:space="0"/>
              <w:right w:val="single" w:color="auto" w:sz="2" w:space="0"/>
            </w:tcBorders>
            <w:vAlign w:val="center"/>
          </w:tcP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关联租赁情况说明</w:t>
      </w:r>
    </w:p>
    <w:p>
      <w:pPr>
        <w:keepNext/>
        <w:keepLines/>
        <w:spacing w:before="300" w:after="300" w:line="280" w:lineRule="exact"/>
        <w:jc w:val="left"/>
        <w:outlineLvl w:val="3"/>
        <w:rPr>
          <w:rFonts w:ascii="宋体" w:hAnsi="宋体" w:eastAsia="宋体" w:cs="宋体"/>
          <w:b/>
          <w:bCs/>
          <w:sz w:val="21"/>
          <w:szCs w:val="21"/>
        </w:rPr>
      </w:pPr>
      <w:bookmarkStart w:id="483" w:name="_Toc989372"/>
      <w:r>
        <w:rPr>
          <w:rFonts w:ascii="宋体" w:hAnsi="宋体" w:eastAsia="宋体" w:cs="宋体"/>
          <w:b/>
          <w:bCs/>
          <w:sz w:val="21"/>
          <w:szCs w:val="21"/>
        </w:rPr>
        <w:t>（4） 关联担保情况</w:t>
      </w:r>
      <w:bookmarkEnd w:id="483"/>
    </w:p>
    <w:p>
      <w:pPr>
        <w:spacing w:before="40" w:after="40" w:line="240" w:lineRule="exact"/>
        <w:jc w:val="left"/>
        <w:rPr>
          <w:rFonts w:ascii="宋体" w:hAnsi="宋体" w:eastAsia="宋体" w:cs="宋体"/>
          <w:sz w:val="18"/>
          <w:szCs w:val="18"/>
        </w:rPr>
      </w:pPr>
      <w:r>
        <w:rPr>
          <w:rFonts w:ascii="宋体" w:hAnsi="宋体" w:eastAsia="宋体" w:cs="宋体"/>
          <w:sz w:val="18"/>
          <w:szCs w:val="18"/>
        </w:rPr>
        <w:t>本公司作为担保方</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被担保方</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担保起始日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担保到期日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担保是否已经履行完毕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吉林里程协合风力发电有限公司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48,452,419.26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2017年08月17日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2027年11月23日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吉林泰合风力发电有限公司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29,073,556.71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2017年08月17日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2026年11月26日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bl>
    <w:p>
      <w:pPr>
        <w:spacing w:before="100" w:after="40" w:line="240" w:lineRule="exact"/>
        <w:jc w:val="left"/>
        <w:rPr>
          <w:rFonts w:ascii="宋体" w:hAnsi="宋体" w:eastAsia="宋体" w:cs="宋体"/>
          <w:sz w:val="18"/>
          <w:szCs w:val="18"/>
        </w:rPr>
      </w:pPr>
      <w:r>
        <w:rPr>
          <w:rFonts w:ascii="宋体" w:hAnsi="宋体" w:eastAsia="宋体" w:cs="宋体"/>
          <w:sz w:val="18"/>
          <w:szCs w:val="18"/>
        </w:rPr>
        <w:t>本公司作为被担保方</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担保方</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担保起始日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担保到期日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担保是否已经履行完毕</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关联担保情况说明</w:t>
      </w:r>
    </w:p>
    <w:p>
      <w:pPr>
        <w:keepNext/>
        <w:keepLines/>
        <w:spacing w:before="300" w:after="300" w:line="280" w:lineRule="exact"/>
        <w:jc w:val="left"/>
        <w:outlineLvl w:val="3"/>
        <w:rPr>
          <w:rFonts w:ascii="宋体" w:hAnsi="宋体" w:eastAsia="宋体" w:cs="宋体"/>
          <w:b/>
          <w:bCs/>
          <w:sz w:val="21"/>
          <w:szCs w:val="21"/>
        </w:rPr>
      </w:pPr>
      <w:bookmarkStart w:id="484" w:name="_Toc989373"/>
      <w:r>
        <w:rPr>
          <w:rFonts w:ascii="宋体" w:hAnsi="宋体" w:eastAsia="宋体" w:cs="宋体"/>
          <w:b/>
          <w:bCs/>
          <w:sz w:val="21"/>
          <w:szCs w:val="21"/>
        </w:rPr>
        <w:t>（5） 关联方资金拆借</w:t>
      </w:r>
      <w:bookmarkEnd w:id="48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关联方</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拆借金额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起始日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到期日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拆入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2024年04月28日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2025年04月27日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2024年04月18日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2025年04月17日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76,838,709.66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2010年03月15日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2025年03月14日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2023年11月27日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2025年02月26日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2023年04月27日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2025年10月26日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193,000,000.00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2023年10月25日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2025年10月25日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2023年12月14日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2025年10月25日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2022年03月25日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2025年03月24日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2023年07月24日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2026年01月23日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2022年07月01日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2025年07月01日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2022年04月18日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2025年04月17日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2020年10月16日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2025年10月15日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2020年10月27日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2025年10月26日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235,000,000.00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2020年12月11日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2025年12月10日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国家电投集团吉林能源投资有限公司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2023年12月28日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2025年12月27日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拆出</w:t>
            </w:r>
          </w:p>
        </w:tc>
      </w:tr>
    </w:tbl>
    <w:p>
      <w:pPr>
        <w:keepNext/>
        <w:keepLines/>
        <w:spacing w:before="300" w:after="300" w:line="280" w:lineRule="exact"/>
        <w:jc w:val="left"/>
        <w:outlineLvl w:val="3"/>
        <w:rPr>
          <w:rFonts w:ascii="宋体" w:hAnsi="宋体" w:eastAsia="宋体" w:cs="宋体"/>
          <w:b/>
          <w:bCs/>
          <w:sz w:val="21"/>
          <w:szCs w:val="21"/>
        </w:rPr>
      </w:pPr>
      <w:bookmarkStart w:id="485" w:name="_Toc989374"/>
      <w:r>
        <w:rPr>
          <w:rFonts w:ascii="宋体" w:hAnsi="宋体" w:eastAsia="宋体" w:cs="宋体"/>
          <w:b/>
          <w:bCs/>
          <w:sz w:val="21"/>
          <w:szCs w:val="21"/>
        </w:rPr>
        <w:t>（6） 关联方资产转让、债务重组情况</w:t>
      </w:r>
      <w:bookmarkEnd w:id="48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关联交易内容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bl>
    <w:p>
      <w:pPr>
        <w:keepNext/>
        <w:keepLines/>
        <w:spacing w:before="300" w:after="300" w:line="280" w:lineRule="exact"/>
        <w:jc w:val="left"/>
        <w:outlineLvl w:val="3"/>
        <w:rPr>
          <w:rFonts w:ascii="宋体" w:hAnsi="宋体" w:eastAsia="宋体" w:cs="宋体"/>
          <w:b/>
          <w:bCs/>
          <w:sz w:val="21"/>
          <w:szCs w:val="21"/>
        </w:rPr>
      </w:pPr>
      <w:bookmarkStart w:id="486" w:name="_Toc989375"/>
      <w:r>
        <w:rPr>
          <w:rFonts w:ascii="宋体" w:hAnsi="宋体" w:eastAsia="宋体" w:cs="宋体"/>
          <w:b/>
          <w:bCs/>
          <w:sz w:val="21"/>
          <w:szCs w:val="21"/>
        </w:rPr>
        <w:t>（7） 关键管理人员报酬</w:t>
      </w:r>
      <w:bookmarkEnd w:id="48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bl>
    <w:p>
      <w:pPr>
        <w:keepNext/>
        <w:keepLines/>
        <w:spacing w:before="300" w:after="300" w:line="280" w:lineRule="exact"/>
        <w:jc w:val="left"/>
        <w:outlineLvl w:val="3"/>
        <w:rPr>
          <w:rFonts w:ascii="宋体" w:hAnsi="宋体" w:eastAsia="宋体" w:cs="宋体"/>
          <w:b/>
          <w:bCs/>
          <w:sz w:val="21"/>
          <w:szCs w:val="21"/>
        </w:rPr>
      </w:pPr>
      <w:bookmarkStart w:id="487" w:name="_Toc989376"/>
      <w:r>
        <w:rPr>
          <w:rFonts w:ascii="宋体" w:hAnsi="宋体" w:eastAsia="宋体" w:cs="宋体"/>
          <w:b/>
          <w:bCs/>
          <w:sz w:val="21"/>
          <w:szCs w:val="21"/>
        </w:rPr>
        <w:t>（8） 其他关联交易</w:t>
      </w:r>
      <w:bookmarkEnd w:id="487"/>
    </w:p>
    <w:p>
      <w:pPr>
        <w:keepNext/>
        <w:keepLines/>
        <w:spacing w:before="300" w:after="300" w:line="280" w:lineRule="exact"/>
        <w:jc w:val="left"/>
        <w:outlineLvl w:val="2"/>
        <w:rPr>
          <w:rFonts w:ascii="宋体" w:hAnsi="宋体" w:eastAsia="宋体" w:cs="宋体"/>
          <w:b/>
          <w:bCs/>
          <w:sz w:val="21"/>
          <w:szCs w:val="21"/>
        </w:rPr>
      </w:pPr>
      <w:bookmarkStart w:id="488" w:name="_Toc989377"/>
      <w:r>
        <w:rPr>
          <w:rFonts w:ascii="宋体" w:hAnsi="宋体" w:eastAsia="宋体" w:cs="宋体"/>
          <w:b/>
          <w:bCs/>
          <w:sz w:val="21"/>
          <w:szCs w:val="21"/>
        </w:rPr>
        <w:t>6、关联方应收应付款项</w:t>
      </w:r>
      <w:bookmarkEnd w:id="488"/>
    </w:p>
    <w:p>
      <w:pPr>
        <w:keepNext/>
        <w:keepLines/>
        <w:spacing w:before="300" w:after="300" w:line="280" w:lineRule="exact"/>
        <w:jc w:val="left"/>
        <w:outlineLvl w:val="3"/>
        <w:rPr>
          <w:rFonts w:ascii="宋体" w:hAnsi="宋体" w:eastAsia="宋体" w:cs="宋体"/>
          <w:b/>
          <w:bCs/>
          <w:sz w:val="21"/>
          <w:szCs w:val="21"/>
        </w:rPr>
      </w:pPr>
      <w:bookmarkStart w:id="489" w:name="_Toc989378"/>
      <w:r>
        <w:rPr>
          <w:rFonts w:ascii="宋体" w:hAnsi="宋体" w:eastAsia="宋体" w:cs="宋体"/>
          <w:b/>
          <w:bCs/>
          <w:sz w:val="21"/>
          <w:szCs w:val="21"/>
        </w:rPr>
        <w:t>（1） 应收项目</w:t>
      </w:r>
      <w:bookmarkEnd w:id="48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项目名称</w:t>
            </w:r>
          </w:p>
        </w:tc>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关联方</w:t>
            </w:r>
          </w:p>
        </w:tc>
        <w:tc>
          <w:tcPr>
            <w:tcW w:w="321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吉电未来智维能源科技（吉林）有限公司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43,841,160.31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38,208,911.57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12,524,303.71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9,136,127.65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中电华创电力技术研究有限公司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8,169,960.00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5,472,010.00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重庆中电自能科技有限公司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4,288,085.00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4,218,640.00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锡林浩特市京运通风力发电有限公司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3,125,000.00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3,150,000.00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国核电力规划设计研究院有限公司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2,014,000.00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2,014,000.00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国家电投集团内蒙古白音华煤电有限公司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1,898,592.00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1,898,592.00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白山吉电能源开发有限公司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433,000.00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1,713,000.00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国家电投集团山西铝业有限公司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1,999,915.21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1,173,283.00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国电投（深圳）能源发展有限公司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507,552.00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国家电投集团东北电力有限公司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265,932.00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683,220.00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内蒙古吉电能源有限公司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国家电投集团碳资产管理有限公司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489,090.00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大连发电有限责任公司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255,465.00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323,325.00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靖宇宏核新能源有限公司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318,500.00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318,500.00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绿充（广州）科技有限公司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294,468.00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196,312.00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苏尼特左旗风鼎发电有限公司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建德晶科光伏发电有限公司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138,769.91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138,769.91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白山明珠产业园区管理有限公司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99,394.49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99,394.49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缙云县晶科光伏发电有限公司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94,676.17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94,676.17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龙州县百熠新能源科技有限公司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590,324.63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50,505.99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河北洁蓝新能源科技有限公司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国家电投集团江苏综合能源供应有限公司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29,250.00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山东国电投能源营销有限公司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1,436.10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国家电投集团曲阳新能源发电有限公司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499,966.66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朝阳燕山湖发电有限公司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3,309,044.56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预付账款：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电能易购（北京）科技有限公司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26,745,545.56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17,064,244.80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预付账款：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24,609,231.37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15,226,107.40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预付账款：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中国电能成套设备有限公司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316,580.34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207,998.67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预付账款：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吉林省吉电能源服务有限公司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195,544.00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预付账款：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吉电未来智维能源科技（吉林）有限公司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142,500.00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142,500.00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预付账款：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南昌市新建区昌达电力培训中心有限公司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预付账款：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国家电投集团电站运营技术（北京）有限公司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预付账款：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山东电力工程咨询院有限公司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预付账款：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国家电投集团综合智慧能源科技有限公司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900,420.00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预付账款：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白山吉电能源开发有限公司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450,500.00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其他应收款：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中国电能成套设备有限公司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73,233.48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73,233.48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其他应收款：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吉林省吉电能源服务有限公司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17,573.72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17,573.72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其他应收款：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国家电投集团贵州金元股份有限公司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29,949.00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其他应收款：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上海上电售电有限公司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1,394,759.60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其他应收款：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国家电投集团河南电力有限公司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12,116.96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其他应收款：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国家电投集团东北电力有限公司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其他非流动资产：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电能易购（北京）科技有限公司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67,325,386.76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181,644,161.96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其他非流动资产：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长春绿动氢能科技有限公司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81,994,950.00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81,994,950.00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其他非流动资产：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山东电力工程咨询院有限公司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73,807,500.00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73,807,500.00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其他非流动资产：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上海能源科技发展有限公司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199,938,172.80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39,300,347.81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其他非流动资产：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22,654,819.80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其他非流动资产：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国核电力规划设计研究院有限公司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4,154,435.67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5,036,146.27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其他非流动资产：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国电南瑞吉电新能源（南京）有限公司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2,488,000.00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其他非流动资产：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吉林省电力科学研究院有限公司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其他非流动资产：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中能融合智慧科技有限公司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140,475.00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140,475.00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其他非流动资产：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上海发电设备成套设计研究院有限责任公司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123,503,700.00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keepNext/>
        <w:keepLines/>
        <w:spacing w:before="300" w:after="300" w:line="280" w:lineRule="exact"/>
        <w:jc w:val="left"/>
        <w:outlineLvl w:val="3"/>
        <w:rPr>
          <w:rFonts w:ascii="宋体" w:hAnsi="宋体" w:eastAsia="宋体" w:cs="宋体"/>
          <w:b/>
          <w:bCs/>
          <w:sz w:val="21"/>
          <w:szCs w:val="21"/>
        </w:rPr>
      </w:pPr>
      <w:bookmarkStart w:id="490" w:name="_Toc989379"/>
      <w:r>
        <w:rPr>
          <w:rFonts w:ascii="宋体" w:hAnsi="宋体" w:eastAsia="宋体" w:cs="宋体"/>
          <w:b/>
          <w:bCs/>
          <w:sz w:val="21"/>
          <w:szCs w:val="21"/>
        </w:rPr>
        <w:t>（2） 应付项目</w:t>
      </w:r>
      <w:bookmarkEnd w:id="49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期初账面余额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上海能源科技发展有限公司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75,188,346.36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57,502,859.32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长春绿动氢能科技有限公司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35,424,640.00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35,424,640.00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国核电力规划设计研究院有限公司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26,510,988.82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26,127,067.99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吉电未来智维能源科技（吉林）有限公司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35,483,369.67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22,508,511.83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19,282,223.50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22,102,682.76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扎鲁特旗扎哈淖尔煤业有限公司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39,163,804.90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21,616,627.46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国家电投集团数字科技有限公司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13,977,607.73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17,989,855.58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内蒙古白音华蒙东露天煤业有限公司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15,972,384.24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16,301,716.30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内蒙古电投能源股份有限公司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20,033,602.49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16,228,171.66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重庆中电自能科技有限公司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13,722,630.00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15,883,450.00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山东电力工程咨询院有限公司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15,142,831.52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13,839,664.11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上海发电设备成套设计研究院有限责任公司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13,859,460.00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12,981,360.00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中电华创电力技术研究有限公司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7,538,188.33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10,701,429.31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国家电投集团内蒙古白音华煤电有限公司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8,456,066.02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北京融和云链科技有限公司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8,007,672.95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中能融合智慧科技有限公司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3,159,954.71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6,888,082.60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吉林省电力科学研究院有限公司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4,058,396.21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5,977,277.36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上海中电投电力设备有限公司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3,692,689.00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3,692,689.00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国家电投集团远达环保工程有限公司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3,663,384.00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3,663,384.00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上海明华电力科技有限公司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3,140,000.00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国家电投集团电站运营技术（北京）有限公司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2,864,379.16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2,865,739.16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国家电投集团远达环保催化剂有限公司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3,937,000.00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2,575,674.79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中电投融和融资租赁有限公司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862,395.62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2,028,583.22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国核自仪系统工程有限公司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1,314,600.00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1,806,600.00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电能（北京）工程监理有限公司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1,178,633.28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1,165,838.25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国核信息科技有限公司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862,239.83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1,042,980.90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吉林省吉电能源服务有限公司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915,672.50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1,001,477.94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国家电投集团综合智慧能源科技有限公司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981,680.00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981,680.00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电能易购（北京）科技有限公司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940,501.54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677,250.58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铁岭市清河电力监理有限责任公司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158,390.00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634,250.00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中电投东北能源科技有限公司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白山吉电能源开发有限公司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353,500.00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353,000.00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国家电投集团远达水务有限公司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298,000.00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298,000.00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吉电憧憬（吉林）新能源发展有限公司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278,761.06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国核电力规划设计研究院重庆有限公司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188,667.00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188,667.00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中国电能成套设备有限公司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122,498.41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26,408.43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国家电投集团江西水电检修安装工程有限公司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16,112.50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16,112.50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北京中电汇智科技有限公司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上海中电新能源置业发展有限公司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4,974.00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4,974.00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国电南瑞吉电新能源（南京）有限公司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2,381,000.00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2,381,000.00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中电投新疆能源化工集团哈密有限公司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3,949,492.92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百瑞信托有限责任公司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国家电投集团山南电力有限公司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686,320.75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潍坊捷凯能源管理有限公司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97,885.00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百瑞信托有限责任公司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141,626,352.19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168,228,521.65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7,373,022.03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102,286,957.85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深圳市吉电盈晟新能源投资有限公司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18,305,000.00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36,995,000.00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国核电力规划设计研究院有限公司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9,961,950.40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8,866,894.47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国家电投集团远达环保工程有限公司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5,360,600.00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5,360,600.00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山东电力工程咨询院有限公司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5,445,505.19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4,839,010.49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国家电投集团远达环保催化剂有限公司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2,210,445.47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2,210,445.47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重庆中电自能科技有限公司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1,250,950.00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1,156,950.00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国家电投集团数字科技有限公司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1,121,089.90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1,121,089.90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上海发电设备成套设计研究院有限责任公司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1,000,046.00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1,000,046.00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国核电站运行服务技术有限公司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472,000.00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吉电未来智维能源科技（吉林）有限公司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435,897.51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340,946.24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中能融合智慧科技有限公司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193,254.75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193,254.75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国家电投集团科学技术研究院有限公司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上海能源科技发展有限公司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11,010,246.02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147,600.00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上海明华电力科技有限公司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国家电投集团综合智慧能源科技有限公司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112,284.55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112,284.55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吉电憧憬（吉林）新能源发展有限公司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63,800.00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88,800.00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国核信息科技有限公司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72,469.58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72,469.58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铁岭市清河电力监理有限责任公司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41,050.00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41,050.00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吉林省电力科学研究院有限公司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54,808.00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29,808.00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湖南五凌电力科技有限公司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辽宁清河电力检修有限责任公司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重庆远达烟气治理特许经营有限公司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电能易购（北京）科技有限公司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255.00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国核自仪系统工程有限公司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6,417.00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国电南瑞吉电新能源（南京）有限公司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47,900.00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白山吉电能源开发有限公司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2,498,071.07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国家电投集团内蒙古白音华煤电有限公司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364,143.00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国家电投集团曲阳新能源发电有限公司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长期应付款：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国家电投集团吉林能源投资有限公司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71,290,000.00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71,290,000.00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长期应付款：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中电投融和融资租赁有限公司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44,272,120.63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6,470,134.62</w:t>
            </w:r>
          </w:p>
        </w:tc>
      </w:tr>
    </w:tbl>
    <w:p>
      <w:pPr>
        <w:keepNext/>
        <w:keepLines/>
        <w:spacing w:before="300" w:after="300" w:line="280" w:lineRule="exact"/>
        <w:jc w:val="left"/>
        <w:outlineLvl w:val="2"/>
        <w:rPr>
          <w:rFonts w:ascii="宋体" w:hAnsi="宋体" w:eastAsia="宋体" w:cs="宋体"/>
          <w:b/>
          <w:bCs/>
          <w:sz w:val="21"/>
          <w:szCs w:val="21"/>
        </w:rPr>
      </w:pPr>
      <w:bookmarkStart w:id="491" w:name="_Toc989380"/>
      <w:r>
        <w:rPr>
          <w:rFonts w:ascii="宋体" w:hAnsi="宋体" w:eastAsia="宋体" w:cs="宋体"/>
          <w:b/>
          <w:bCs/>
          <w:sz w:val="21"/>
          <w:szCs w:val="21"/>
        </w:rPr>
        <w:t>7、关联方承诺</w:t>
      </w:r>
      <w:bookmarkEnd w:id="491"/>
    </w:p>
    <w:p>
      <w:pPr>
        <w:keepNext/>
        <w:keepLines/>
        <w:spacing w:before="300" w:after="300" w:line="280" w:lineRule="exact"/>
        <w:jc w:val="left"/>
        <w:outlineLvl w:val="2"/>
        <w:rPr>
          <w:rFonts w:ascii="宋体" w:hAnsi="宋体" w:eastAsia="宋体" w:cs="宋体"/>
          <w:b/>
          <w:bCs/>
          <w:sz w:val="21"/>
          <w:szCs w:val="21"/>
        </w:rPr>
      </w:pPr>
      <w:bookmarkStart w:id="492" w:name="_Toc989381"/>
      <w:r>
        <w:rPr>
          <w:rFonts w:ascii="宋体" w:hAnsi="宋体" w:eastAsia="宋体" w:cs="宋体"/>
          <w:b/>
          <w:bCs/>
          <w:sz w:val="21"/>
          <w:szCs w:val="21"/>
        </w:rPr>
        <w:t>8、其他</w:t>
      </w:r>
      <w:bookmarkEnd w:id="492"/>
    </w:p>
    <w:p>
      <w:pPr>
        <w:keepNext/>
        <w:keepLines/>
        <w:spacing w:before="300" w:after="300" w:line="320" w:lineRule="exact"/>
        <w:jc w:val="left"/>
        <w:outlineLvl w:val="1"/>
        <w:rPr>
          <w:rFonts w:ascii="宋体" w:hAnsi="宋体" w:eastAsia="宋体" w:cs="宋体"/>
          <w:b/>
          <w:bCs/>
          <w:sz w:val="24"/>
          <w:szCs w:val="24"/>
        </w:rPr>
      </w:pPr>
      <w:bookmarkStart w:id="493" w:name="_Toc989382"/>
      <w:r>
        <w:rPr>
          <w:rFonts w:ascii="宋体" w:hAnsi="宋体" w:eastAsia="宋体" w:cs="宋体"/>
          <w:b/>
          <w:bCs/>
          <w:sz w:val="24"/>
          <w:szCs w:val="24"/>
        </w:rPr>
        <w:t>十五、股份支付</w:t>
      </w:r>
      <w:bookmarkEnd w:id="493"/>
    </w:p>
    <w:p>
      <w:pPr>
        <w:keepNext/>
        <w:keepLines/>
        <w:spacing w:before="300" w:after="300" w:line="280" w:lineRule="exact"/>
        <w:jc w:val="left"/>
        <w:outlineLvl w:val="2"/>
        <w:rPr>
          <w:rFonts w:ascii="宋体" w:hAnsi="宋体" w:eastAsia="宋体" w:cs="宋体"/>
          <w:b/>
          <w:bCs/>
          <w:sz w:val="21"/>
          <w:szCs w:val="21"/>
        </w:rPr>
      </w:pPr>
      <w:bookmarkStart w:id="494" w:name="_Toc989383"/>
      <w:r>
        <w:rPr>
          <w:rFonts w:ascii="宋体" w:hAnsi="宋体" w:eastAsia="宋体" w:cs="宋体"/>
          <w:b/>
          <w:bCs/>
          <w:sz w:val="21"/>
          <w:szCs w:val="21"/>
        </w:rPr>
        <w:t>1、股份支付总体情况</w:t>
      </w:r>
      <w:bookmarkEnd w:id="494"/>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495" w:name="_Toc989384"/>
      <w:r>
        <w:rPr>
          <w:rFonts w:ascii="宋体" w:hAnsi="宋体" w:eastAsia="宋体" w:cs="宋体"/>
          <w:b/>
          <w:bCs/>
          <w:sz w:val="21"/>
          <w:szCs w:val="21"/>
        </w:rPr>
        <w:t>2、以权益结算的股份支付情况</w:t>
      </w:r>
      <w:bookmarkEnd w:id="495"/>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496" w:name="_Toc989385"/>
      <w:r>
        <w:rPr>
          <w:rFonts w:ascii="宋体" w:hAnsi="宋体" w:eastAsia="宋体" w:cs="宋体"/>
          <w:b/>
          <w:bCs/>
          <w:sz w:val="21"/>
          <w:szCs w:val="21"/>
        </w:rPr>
        <w:t>3、以现金结算的股份支付情况</w:t>
      </w:r>
      <w:bookmarkEnd w:id="496"/>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497" w:name="_Toc989386"/>
      <w:r>
        <w:rPr>
          <w:rFonts w:ascii="宋体" w:hAnsi="宋体" w:eastAsia="宋体" w:cs="宋体"/>
          <w:b/>
          <w:bCs/>
          <w:sz w:val="21"/>
          <w:szCs w:val="21"/>
        </w:rPr>
        <w:t>4、本期股份支付费用</w:t>
      </w:r>
      <w:bookmarkEnd w:id="497"/>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498" w:name="_Toc989387"/>
      <w:r>
        <w:rPr>
          <w:rFonts w:ascii="宋体" w:hAnsi="宋体" w:eastAsia="宋体" w:cs="宋体"/>
          <w:b/>
          <w:bCs/>
          <w:sz w:val="21"/>
          <w:szCs w:val="21"/>
        </w:rPr>
        <w:t>5、股份支付的修改、终止情况</w:t>
      </w:r>
      <w:bookmarkEnd w:id="498"/>
    </w:p>
    <w:p>
      <w:pPr>
        <w:keepNext/>
        <w:keepLines/>
        <w:spacing w:before="300" w:after="300" w:line="280" w:lineRule="exact"/>
        <w:jc w:val="left"/>
        <w:outlineLvl w:val="2"/>
        <w:rPr>
          <w:rFonts w:ascii="宋体" w:hAnsi="宋体" w:eastAsia="宋体" w:cs="宋体"/>
          <w:b/>
          <w:bCs/>
          <w:sz w:val="21"/>
          <w:szCs w:val="21"/>
        </w:rPr>
      </w:pPr>
      <w:bookmarkStart w:id="499" w:name="_Toc989388"/>
      <w:r>
        <w:rPr>
          <w:rFonts w:ascii="宋体" w:hAnsi="宋体" w:eastAsia="宋体" w:cs="宋体"/>
          <w:b/>
          <w:bCs/>
          <w:sz w:val="21"/>
          <w:szCs w:val="21"/>
        </w:rPr>
        <w:t xml:space="preserve">6、其他 </w:t>
      </w:r>
      <w:bookmarkEnd w:id="499"/>
    </w:p>
    <w:p>
      <w:pPr>
        <w:keepNext/>
        <w:keepLines/>
        <w:spacing w:before="300" w:after="300" w:line="320" w:lineRule="exact"/>
        <w:jc w:val="left"/>
        <w:outlineLvl w:val="1"/>
        <w:rPr>
          <w:rFonts w:ascii="宋体" w:hAnsi="宋体" w:eastAsia="宋体" w:cs="宋体"/>
          <w:b/>
          <w:bCs/>
          <w:sz w:val="24"/>
          <w:szCs w:val="24"/>
        </w:rPr>
      </w:pPr>
      <w:bookmarkStart w:id="500" w:name="_Toc989389"/>
      <w:r>
        <w:rPr>
          <w:rFonts w:ascii="宋体" w:hAnsi="宋体" w:eastAsia="宋体" w:cs="宋体"/>
          <w:b/>
          <w:bCs/>
          <w:sz w:val="24"/>
          <w:szCs w:val="24"/>
        </w:rPr>
        <w:t>十六、承诺及或有事项</w:t>
      </w:r>
      <w:bookmarkEnd w:id="500"/>
    </w:p>
    <w:p>
      <w:pPr>
        <w:keepNext/>
        <w:keepLines/>
        <w:spacing w:before="300" w:after="300" w:line="280" w:lineRule="exact"/>
        <w:jc w:val="left"/>
        <w:outlineLvl w:val="2"/>
        <w:rPr>
          <w:rFonts w:ascii="宋体" w:hAnsi="宋体" w:eastAsia="宋体" w:cs="宋体"/>
          <w:b/>
          <w:bCs/>
          <w:sz w:val="21"/>
          <w:szCs w:val="21"/>
        </w:rPr>
      </w:pPr>
      <w:bookmarkStart w:id="501" w:name="_Toc989390"/>
      <w:r>
        <w:rPr>
          <w:rFonts w:ascii="宋体" w:hAnsi="宋体" w:eastAsia="宋体" w:cs="宋体"/>
          <w:b/>
          <w:bCs/>
          <w:sz w:val="21"/>
          <w:szCs w:val="21"/>
        </w:rPr>
        <w:t>1、重要承诺事项</w:t>
      </w:r>
      <w:bookmarkEnd w:id="501"/>
    </w:p>
    <w:p>
      <w:pPr>
        <w:spacing w:before="100" w:after="100" w:line="240" w:lineRule="exact"/>
        <w:jc w:val="left"/>
        <w:rPr>
          <w:rFonts w:ascii="宋体" w:hAnsi="宋体" w:eastAsia="宋体" w:cs="宋体"/>
          <w:sz w:val="18"/>
          <w:szCs w:val="18"/>
        </w:rPr>
      </w:pPr>
      <w:r>
        <w:rPr>
          <w:rFonts w:ascii="宋体" w:hAnsi="宋体" w:eastAsia="宋体" w:cs="宋体"/>
          <w:sz w:val="18"/>
          <w:szCs w:val="18"/>
        </w:rPr>
        <w:t>资产负债表日存在的重要承诺</w:t>
      </w:r>
    </w:p>
    <w:p>
      <w:pPr>
        <w:keepNext/>
        <w:keepLines/>
        <w:spacing w:before="300" w:after="300" w:line="280" w:lineRule="exact"/>
        <w:jc w:val="left"/>
        <w:outlineLvl w:val="2"/>
        <w:rPr>
          <w:rFonts w:ascii="宋体" w:hAnsi="宋体" w:eastAsia="宋体" w:cs="宋体"/>
          <w:b/>
          <w:bCs/>
          <w:sz w:val="21"/>
          <w:szCs w:val="21"/>
        </w:rPr>
      </w:pPr>
      <w:bookmarkStart w:id="502" w:name="_Toc989391"/>
      <w:r>
        <w:rPr>
          <w:rFonts w:ascii="宋体" w:hAnsi="宋体" w:eastAsia="宋体" w:cs="宋体"/>
          <w:b/>
          <w:bCs/>
          <w:sz w:val="21"/>
          <w:szCs w:val="21"/>
        </w:rPr>
        <w:t>2、或有事项</w:t>
      </w:r>
      <w:bookmarkEnd w:id="502"/>
    </w:p>
    <w:p>
      <w:pPr>
        <w:keepNext/>
        <w:keepLines/>
        <w:spacing w:before="300" w:after="300" w:line="280" w:lineRule="exact"/>
        <w:jc w:val="left"/>
        <w:outlineLvl w:val="3"/>
        <w:rPr>
          <w:rFonts w:ascii="宋体" w:hAnsi="宋体" w:eastAsia="宋体" w:cs="宋体"/>
          <w:b/>
          <w:bCs/>
          <w:sz w:val="21"/>
          <w:szCs w:val="21"/>
        </w:rPr>
      </w:pPr>
      <w:bookmarkStart w:id="503" w:name="_Toc989392"/>
      <w:r>
        <w:rPr>
          <w:rFonts w:ascii="宋体" w:hAnsi="宋体" w:eastAsia="宋体" w:cs="宋体"/>
          <w:b/>
          <w:bCs/>
          <w:sz w:val="21"/>
          <w:szCs w:val="21"/>
        </w:rPr>
        <w:t>（1） 资产负债表日存在的重要或有事项</w:t>
      </w:r>
      <w:bookmarkEnd w:id="503"/>
    </w:p>
    <w:p>
      <w:pPr>
        <w:keepNext/>
        <w:keepLines/>
        <w:spacing w:before="300" w:after="300" w:line="280" w:lineRule="exact"/>
        <w:jc w:val="left"/>
        <w:outlineLvl w:val="3"/>
        <w:rPr>
          <w:rFonts w:ascii="宋体" w:hAnsi="宋体" w:eastAsia="宋体" w:cs="宋体"/>
          <w:b/>
          <w:bCs/>
          <w:sz w:val="21"/>
          <w:szCs w:val="21"/>
        </w:rPr>
      </w:pPr>
      <w:bookmarkStart w:id="504" w:name="_Toc989393"/>
      <w:r>
        <w:rPr>
          <w:rFonts w:ascii="宋体" w:hAnsi="宋体" w:eastAsia="宋体" w:cs="宋体"/>
          <w:b/>
          <w:bCs/>
          <w:sz w:val="21"/>
          <w:szCs w:val="21"/>
        </w:rPr>
        <w:t>（2） 公司没有需要披露的重要或有事项，也应予以说明</w:t>
      </w:r>
      <w:bookmarkEnd w:id="504"/>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公司不存在需要披露的重要或有事项。</w:t>
      </w:r>
    </w:p>
    <w:p>
      <w:pPr>
        <w:keepNext/>
        <w:keepLines/>
        <w:spacing w:before="300" w:after="300" w:line="280" w:lineRule="exact"/>
        <w:jc w:val="left"/>
        <w:outlineLvl w:val="2"/>
        <w:rPr>
          <w:rFonts w:ascii="宋体" w:hAnsi="宋体" w:eastAsia="宋体" w:cs="宋体"/>
          <w:b/>
          <w:bCs/>
          <w:sz w:val="21"/>
          <w:szCs w:val="21"/>
        </w:rPr>
      </w:pPr>
      <w:bookmarkStart w:id="505" w:name="_Toc989394"/>
      <w:r>
        <w:rPr>
          <w:rFonts w:ascii="宋体" w:hAnsi="宋体" w:eastAsia="宋体" w:cs="宋体"/>
          <w:b/>
          <w:bCs/>
          <w:sz w:val="21"/>
          <w:szCs w:val="21"/>
        </w:rPr>
        <w:t>3、其他</w:t>
      </w:r>
      <w:bookmarkEnd w:id="505"/>
    </w:p>
    <w:p>
      <w:pPr>
        <w:keepNext/>
        <w:keepLines/>
        <w:spacing w:before="300" w:after="300" w:line="320" w:lineRule="exact"/>
        <w:jc w:val="left"/>
        <w:outlineLvl w:val="1"/>
        <w:rPr>
          <w:rFonts w:ascii="宋体" w:hAnsi="宋体" w:eastAsia="宋体" w:cs="宋体"/>
          <w:b/>
          <w:bCs/>
          <w:sz w:val="24"/>
          <w:szCs w:val="24"/>
        </w:rPr>
      </w:pPr>
      <w:bookmarkStart w:id="506" w:name="_Toc989395"/>
      <w:r>
        <w:rPr>
          <w:rFonts w:ascii="宋体" w:hAnsi="宋体" w:eastAsia="宋体" w:cs="宋体"/>
          <w:b/>
          <w:bCs/>
          <w:sz w:val="24"/>
          <w:szCs w:val="24"/>
        </w:rPr>
        <w:t>十七、资产负债表日后事项</w:t>
      </w:r>
      <w:bookmarkEnd w:id="506"/>
    </w:p>
    <w:p>
      <w:pPr>
        <w:keepNext/>
        <w:keepLines/>
        <w:spacing w:before="300" w:after="300" w:line="280" w:lineRule="exact"/>
        <w:jc w:val="left"/>
        <w:outlineLvl w:val="2"/>
        <w:rPr>
          <w:rFonts w:ascii="宋体" w:hAnsi="宋体" w:eastAsia="宋体" w:cs="宋体"/>
          <w:b/>
          <w:bCs/>
          <w:sz w:val="21"/>
          <w:szCs w:val="21"/>
        </w:rPr>
      </w:pPr>
      <w:bookmarkStart w:id="507" w:name="_Toc989396"/>
      <w:r>
        <w:rPr>
          <w:rFonts w:ascii="宋体" w:hAnsi="宋体" w:eastAsia="宋体" w:cs="宋体"/>
          <w:b/>
          <w:bCs/>
          <w:sz w:val="21"/>
          <w:szCs w:val="21"/>
        </w:rPr>
        <w:t>1、重要的非调整事项</w:t>
      </w:r>
      <w:bookmarkEnd w:id="50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内容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对财务状况和经营成果的影响数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无法估计影响数的原因</w:t>
            </w:r>
          </w:p>
        </w:tc>
      </w:tr>
    </w:tbl>
    <w:p>
      <w:pPr>
        <w:keepNext/>
        <w:keepLines/>
        <w:spacing w:before="300" w:after="300" w:line="280" w:lineRule="exact"/>
        <w:jc w:val="left"/>
        <w:outlineLvl w:val="2"/>
        <w:rPr>
          <w:rFonts w:ascii="宋体" w:hAnsi="宋体" w:eastAsia="宋体" w:cs="宋体"/>
          <w:b/>
          <w:bCs/>
          <w:sz w:val="21"/>
          <w:szCs w:val="21"/>
        </w:rPr>
      </w:pPr>
      <w:bookmarkStart w:id="508" w:name="_Toc989397"/>
      <w:r>
        <w:rPr>
          <w:rFonts w:ascii="宋体" w:hAnsi="宋体" w:eastAsia="宋体" w:cs="宋体"/>
          <w:b/>
          <w:bCs/>
          <w:sz w:val="21"/>
          <w:szCs w:val="21"/>
        </w:rPr>
        <w:t>2、利润分配情况</w:t>
      </w:r>
      <w:bookmarkEnd w:id="508"/>
    </w:p>
    <w:p>
      <w:pPr>
        <w:spacing w:before="0" w:after="0" w:line="0" w:lineRule="exact"/>
        <w:jc w:val="left"/>
      </w:pPr>
    </w:p>
    <w:p>
      <w:pPr>
        <w:keepNext/>
        <w:keepLines/>
        <w:spacing w:before="300" w:after="300" w:line="280" w:lineRule="exact"/>
        <w:jc w:val="left"/>
        <w:outlineLvl w:val="2"/>
        <w:rPr>
          <w:rFonts w:ascii="宋体" w:hAnsi="宋体" w:eastAsia="宋体" w:cs="宋体"/>
          <w:b/>
          <w:bCs/>
          <w:sz w:val="21"/>
          <w:szCs w:val="21"/>
        </w:rPr>
      </w:pPr>
      <w:bookmarkStart w:id="509" w:name="_Toc989398"/>
      <w:r>
        <w:rPr>
          <w:rFonts w:ascii="宋体" w:hAnsi="宋体" w:eastAsia="宋体" w:cs="宋体"/>
          <w:b/>
          <w:bCs/>
          <w:sz w:val="21"/>
          <w:szCs w:val="21"/>
        </w:rPr>
        <w:t>3、销售退回</w:t>
      </w:r>
      <w:bookmarkEnd w:id="509"/>
    </w:p>
    <w:p>
      <w:pPr>
        <w:keepNext/>
        <w:keepLines/>
        <w:spacing w:before="300" w:after="300" w:line="280" w:lineRule="exact"/>
        <w:jc w:val="left"/>
        <w:outlineLvl w:val="2"/>
        <w:rPr>
          <w:rFonts w:ascii="宋体" w:hAnsi="宋体" w:eastAsia="宋体" w:cs="宋体"/>
          <w:b/>
          <w:bCs/>
          <w:sz w:val="21"/>
          <w:szCs w:val="21"/>
        </w:rPr>
      </w:pPr>
      <w:bookmarkStart w:id="510" w:name="_Toc989399"/>
      <w:r>
        <w:rPr>
          <w:rFonts w:ascii="宋体" w:hAnsi="宋体" w:eastAsia="宋体" w:cs="宋体"/>
          <w:b/>
          <w:bCs/>
          <w:sz w:val="21"/>
          <w:szCs w:val="21"/>
        </w:rPr>
        <w:t>4、其他资产负债表日后事项说明</w:t>
      </w:r>
      <w:bookmarkEnd w:id="510"/>
    </w:p>
    <w:p>
      <w:pPr>
        <w:keepNext/>
        <w:keepLines/>
        <w:spacing w:before="300" w:after="300" w:line="320" w:lineRule="exact"/>
        <w:jc w:val="left"/>
        <w:outlineLvl w:val="1"/>
        <w:rPr>
          <w:rFonts w:ascii="宋体" w:hAnsi="宋体" w:eastAsia="宋体" w:cs="宋体"/>
          <w:b/>
          <w:bCs/>
          <w:sz w:val="24"/>
          <w:szCs w:val="24"/>
        </w:rPr>
      </w:pPr>
      <w:bookmarkStart w:id="511" w:name="_Toc989400"/>
      <w:r>
        <w:rPr>
          <w:rFonts w:ascii="宋体" w:hAnsi="宋体" w:eastAsia="宋体" w:cs="宋体"/>
          <w:b/>
          <w:bCs/>
          <w:sz w:val="24"/>
          <w:szCs w:val="24"/>
        </w:rPr>
        <w:t>十八、其他重要事项</w:t>
      </w:r>
      <w:bookmarkEnd w:id="511"/>
    </w:p>
    <w:p>
      <w:pPr>
        <w:keepNext/>
        <w:keepLines/>
        <w:spacing w:before="300" w:after="300" w:line="280" w:lineRule="exact"/>
        <w:jc w:val="left"/>
        <w:outlineLvl w:val="2"/>
        <w:rPr>
          <w:rFonts w:ascii="宋体" w:hAnsi="宋体" w:eastAsia="宋体" w:cs="宋体"/>
          <w:b/>
          <w:bCs/>
          <w:sz w:val="21"/>
          <w:szCs w:val="21"/>
        </w:rPr>
      </w:pPr>
      <w:bookmarkStart w:id="512" w:name="_Toc989401"/>
      <w:r>
        <w:rPr>
          <w:rFonts w:ascii="宋体" w:hAnsi="宋体" w:eastAsia="宋体" w:cs="宋体"/>
          <w:b/>
          <w:bCs/>
          <w:sz w:val="21"/>
          <w:szCs w:val="21"/>
        </w:rPr>
        <w:t>1、前期会计差错更正</w:t>
      </w:r>
      <w:bookmarkEnd w:id="512"/>
    </w:p>
    <w:p>
      <w:pPr>
        <w:keepNext/>
        <w:keepLines/>
        <w:spacing w:before="300" w:after="300" w:line="280" w:lineRule="exact"/>
        <w:jc w:val="left"/>
        <w:outlineLvl w:val="3"/>
        <w:rPr>
          <w:rFonts w:ascii="宋体" w:hAnsi="宋体" w:eastAsia="宋体" w:cs="宋体"/>
          <w:b/>
          <w:bCs/>
          <w:sz w:val="21"/>
          <w:szCs w:val="21"/>
        </w:rPr>
      </w:pPr>
      <w:bookmarkStart w:id="513" w:name="_Toc989402"/>
      <w:r>
        <w:rPr>
          <w:rFonts w:ascii="宋体" w:hAnsi="宋体" w:eastAsia="宋体" w:cs="宋体"/>
          <w:b/>
          <w:bCs/>
          <w:sz w:val="21"/>
          <w:szCs w:val="21"/>
        </w:rPr>
        <w:t>（1） 追溯重述法</w:t>
      </w:r>
      <w:bookmarkEnd w:id="51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会计差错更正的内容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处理程序</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受影响的各个比较期间报表项目名称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累积影响数</w:t>
            </w:r>
          </w:p>
        </w:tc>
      </w:tr>
    </w:tbl>
    <w:p>
      <w:pPr>
        <w:keepNext/>
        <w:keepLines/>
        <w:spacing w:before="300" w:after="300" w:line="280" w:lineRule="exact"/>
        <w:jc w:val="left"/>
        <w:outlineLvl w:val="3"/>
        <w:rPr>
          <w:rFonts w:ascii="宋体" w:hAnsi="宋体" w:eastAsia="宋体" w:cs="宋体"/>
          <w:b/>
          <w:bCs/>
          <w:sz w:val="21"/>
          <w:szCs w:val="21"/>
        </w:rPr>
      </w:pPr>
      <w:bookmarkStart w:id="514" w:name="_Toc989403"/>
      <w:r>
        <w:rPr>
          <w:rFonts w:ascii="宋体" w:hAnsi="宋体" w:eastAsia="宋体" w:cs="宋体"/>
          <w:b/>
          <w:bCs/>
          <w:sz w:val="21"/>
          <w:szCs w:val="21"/>
        </w:rPr>
        <w:t>（2） 未来适用法</w:t>
      </w:r>
      <w:bookmarkEnd w:id="514"/>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会计差错更正的内容</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批准程序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采用未来适用法的原因</w:t>
            </w:r>
          </w:p>
        </w:tc>
      </w:tr>
    </w:tbl>
    <w:p>
      <w:pPr>
        <w:keepNext/>
        <w:keepLines/>
        <w:spacing w:before="300" w:after="300" w:line="280" w:lineRule="exact"/>
        <w:jc w:val="left"/>
        <w:outlineLvl w:val="2"/>
        <w:rPr>
          <w:rFonts w:ascii="宋体" w:hAnsi="宋体" w:eastAsia="宋体" w:cs="宋体"/>
          <w:b/>
          <w:bCs/>
          <w:sz w:val="21"/>
          <w:szCs w:val="21"/>
        </w:rPr>
      </w:pPr>
      <w:bookmarkStart w:id="515" w:name="_Toc989404"/>
      <w:r>
        <w:rPr>
          <w:rFonts w:ascii="宋体" w:hAnsi="宋体" w:eastAsia="宋体" w:cs="宋体"/>
          <w:b/>
          <w:bCs/>
          <w:sz w:val="21"/>
          <w:szCs w:val="21"/>
        </w:rPr>
        <w:t>2、债务重组</w:t>
      </w:r>
      <w:bookmarkEnd w:id="515"/>
    </w:p>
    <w:p>
      <w:pPr>
        <w:keepNext/>
        <w:keepLines/>
        <w:spacing w:before="300" w:after="300" w:line="280" w:lineRule="exact"/>
        <w:jc w:val="left"/>
        <w:outlineLvl w:val="2"/>
        <w:rPr>
          <w:rFonts w:ascii="宋体" w:hAnsi="宋体" w:eastAsia="宋体" w:cs="宋体"/>
          <w:b/>
          <w:bCs/>
          <w:sz w:val="21"/>
          <w:szCs w:val="21"/>
        </w:rPr>
      </w:pPr>
      <w:bookmarkStart w:id="516" w:name="_Toc989405"/>
      <w:r>
        <w:rPr>
          <w:rFonts w:ascii="宋体" w:hAnsi="宋体" w:eastAsia="宋体" w:cs="宋体"/>
          <w:b/>
          <w:bCs/>
          <w:sz w:val="21"/>
          <w:szCs w:val="21"/>
        </w:rPr>
        <w:t>3、资产置换</w:t>
      </w:r>
      <w:bookmarkEnd w:id="516"/>
    </w:p>
    <w:p>
      <w:pPr>
        <w:keepNext/>
        <w:keepLines/>
        <w:spacing w:before="300" w:after="300" w:line="280" w:lineRule="exact"/>
        <w:jc w:val="left"/>
        <w:outlineLvl w:val="3"/>
        <w:rPr>
          <w:rFonts w:ascii="宋体" w:hAnsi="宋体" w:eastAsia="宋体" w:cs="宋体"/>
          <w:b/>
          <w:bCs/>
          <w:sz w:val="21"/>
          <w:szCs w:val="21"/>
        </w:rPr>
      </w:pPr>
      <w:bookmarkStart w:id="517" w:name="_Toc989406"/>
      <w:r>
        <w:rPr>
          <w:rFonts w:ascii="宋体" w:hAnsi="宋体" w:eastAsia="宋体" w:cs="宋体"/>
          <w:b/>
          <w:bCs/>
          <w:sz w:val="21"/>
          <w:szCs w:val="21"/>
        </w:rPr>
        <w:t>（1） 非货币性资产交换</w:t>
      </w:r>
      <w:bookmarkEnd w:id="517"/>
    </w:p>
    <w:p>
      <w:pPr>
        <w:keepNext/>
        <w:keepLines/>
        <w:spacing w:before="300" w:after="300" w:line="280" w:lineRule="exact"/>
        <w:jc w:val="left"/>
        <w:outlineLvl w:val="3"/>
        <w:rPr>
          <w:rFonts w:ascii="宋体" w:hAnsi="宋体" w:eastAsia="宋体" w:cs="宋体"/>
          <w:b/>
          <w:bCs/>
          <w:sz w:val="21"/>
          <w:szCs w:val="21"/>
        </w:rPr>
      </w:pPr>
      <w:bookmarkStart w:id="518" w:name="_Toc989407"/>
      <w:r>
        <w:rPr>
          <w:rFonts w:ascii="宋体" w:hAnsi="宋体" w:eastAsia="宋体" w:cs="宋体"/>
          <w:b/>
          <w:bCs/>
          <w:sz w:val="21"/>
          <w:szCs w:val="21"/>
        </w:rPr>
        <w:t>（2） 其他资产置换</w:t>
      </w:r>
      <w:bookmarkEnd w:id="518"/>
    </w:p>
    <w:p>
      <w:pPr>
        <w:keepNext/>
        <w:keepLines/>
        <w:spacing w:before="300" w:after="300" w:line="280" w:lineRule="exact"/>
        <w:jc w:val="left"/>
        <w:outlineLvl w:val="2"/>
        <w:rPr>
          <w:rFonts w:ascii="宋体" w:hAnsi="宋体" w:eastAsia="宋体" w:cs="宋体"/>
          <w:b/>
          <w:bCs/>
          <w:sz w:val="21"/>
          <w:szCs w:val="21"/>
        </w:rPr>
      </w:pPr>
      <w:bookmarkStart w:id="519" w:name="_Toc989408"/>
      <w:r>
        <w:rPr>
          <w:rFonts w:ascii="宋体" w:hAnsi="宋体" w:eastAsia="宋体" w:cs="宋体"/>
          <w:b/>
          <w:bCs/>
          <w:sz w:val="21"/>
          <w:szCs w:val="21"/>
        </w:rPr>
        <w:t>4、年金计划</w:t>
      </w:r>
      <w:bookmarkEnd w:id="519"/>
    </w:p>
    <w:p>
      <w:pPr>
        <w:keepNext/>
        <w:keepLines/>
        <w:spacing w:before="300" w:after="300" w:line="280" w:lineRule="exact"/>
        <w:jc w:val="left"/>
        <w:outlineLvl w:val="2"/>
        <w:rPr>
          <w:rFonts w:ascii="宋体" w:hAnsi="宋体" w:eastAsia="宋体" w:cs="宋体"/>
          <w:b/>
          <w:bCs/>
          <w:sz w:val="21"/>
          <w:szCs w:val="21"/>
        </w:rPr>
      </w:pPr>
      <w:bookmarkStart w:id="520" w:name="_Toc989409"/>
      <w:r>
        <w:rPr>
          <w:rFonts w:ascii="宋体" w:hAnsi="宋体" w:eastAsia="宋体" w:cs="宋体"/>
          <w:b/>
          <w:bCs/>
          <w:sz w:val="21"/>
          <w:szCs w:val="21"/>
        </w:rPr>
        <w:t>5、终止经营</w:t>
      </w:r>
      <w:bookmarkEnd w:id="52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费用</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利润总额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所得税费用</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净利润</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归属于母公司所有者的终止经营利润</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521" w:name="_Toc989410"/>
      <w:r>
        <w:rPr>
          <w:rFonts w:ascii="宋体" w:hAnsi="宋体" w:eastAsia="宋体" w:cs="宋体"/>
          <w:b/>
          <w:bCs/>
          <w:sz w:val="21"/>
          <w:szCs w:val="21"/>
        </w:rPr>
        <w:t>6、分部信息</w:t>
      </w:r>
      <w:bookmarkEnd w:id="521"/>
    </w:p>
    <w:p>
      <w:pPr>
        <w:keepNext/>
        <w:keepLines/>
        <w:spacing w:before="300" w:after="300" w:line="280" w:lineRule="exact"/>
        <w:jc w:val="left"/>
        <w:outlineLvl w:val="3"/>
        <w:rPr>
          <w:rFonts w:ascii="宋体" w:hAnsi="宋体" w:eastAsia="宋体" w:cs="宋体"/>
          <w:b/>
          <w:bCs/>
          <w:sz w:val="21"/>
          <w:szCs w:val="21"/>
        </w:rPr>
      </w:pPr>
      <w:bookmarkStart w:id="522" w:name="_Toc989411"/>
      <w:r>
        <w:rPr>
          <w:rFonts w:ascii="宋体" w:hAnsi="宋体" w:eastAsia="宋体" w:cs="宋体"/>
          <w:b/>
          <w:bCs/>
          <w:sz w:val="21"/>
          <w:szCs w:val="21"/>
        </w:rPr>
        <w:t>（1） 报告分部的确定依据与会计政策</w:t>
      </w:r>
      <w:bookmarkEnd w:id="522"/>
    </w:p>
    <w:p>
      <w:pPr>
        <w:keepNext/>
        <w:keepLines/>
        <w:spacing w:before="300" w:after="300" w:line="280" w:lineRule="exact"/>
        <w:jc w:val="left"/>
        <w:outlineLvl w:val="3"/>
        <w:rPr>
          <w:rFonts w:ascii="宋体" w:hAnsi="宋体" w:eastAsia="宋体" w:cs="宋体"/>
          <w:b/>
          <w:bCs/>
          <w:sz w:val="21"/>
          <w:szCs w:val="21"/>
        </w:rPr>
      </w:pPr>
      <w:bookmarkStart w:id="523" w:name="_Toc989412"/>
      <w:r>
        <w:rPr>
          <w:rFonts w:ascii="宋体" w:hAnsi="宋体" w:eastAsia="宋体" w:cs="宋体"/>
          <w:b/>
          <w:bCs/>
          <w:sz w:val="21"/>
          <w:szCs w:val="21"/>
        </w:rPr>
        <w:t>（2） 报告分部的财务信息</w:t>
      </w:r>
      <w:bookmarkEnd w:id="52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分部间抵销</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keepNext/>
        <w:keepLines/>
        <w:spacing w:before="300" w:after="300" w:line="280" w:lineRule="exact"/>
        <w:jc w:val="left"/>
        <w:outlineLvl w:val="3"/>
        <w:rPr>
          <w:rFonts w:ascii="宋体" w:hAnsi="宋体" w:eastAsia="宋体" w:cs="宋体"/>
          <w:b/>
          <w:bCs/>
          <w:sz w:val="21"/>
          <w:szCs w:val="21"/>
        </w:rPr>
      </w:pPr>
      <w:bookmarkStart w:id="524" w:name="_Toc989413"/>
      <w:r>
        <w:rPr>
          <w:rFonts w:ascii="宋体" w:hAnsi="宋体" w:eastAsia="宋体" w:cs="宋体"/>
          <w:b/>
          <w:bCs/>
          <w:sz w:val="21"/>
          <w:szCs w:val="21"/>
        </w:rPr>
        <w:t>（3） 公司无报告分部的，或者不能披露各报告分部的资产总额和负债总额的，应说明原因</w:t>
      </w:r>
      <w:bookmarkEnd w:id="524"/>
    </w:p>
    <w:p>
      <w:pPr>
        <w:keepNext/>
        <w:keepLines/>
        <w:spacing w:before="300" w:after="300" w:line="280" w:lineRule="exact"/>
        <w:jc w:val="left"/>
        <w:outlineLvl w:val="3"/>
        <w:rPr>
          <w:rFonts w:ascii="宋体" w:hAnsi="宋体" w:eastAsia="宋体" w:cs="宋体"/>
          <w:b/>
          <w:bCs/>
          <w:sz w:val="21"/>
          <w:szCs w:val="21"/>
        </w:rPr>
      </w:pPr>
      <w:bookmarkStart w:id="525" w:name="_Toc989414"/>
      <w:r>
        <w:rPr>
          <w:rFonts w:ascii="宋体" w:hAnsi="宋体" w:eastAsia="宋体" w:cs="宋体"/>
          <w:b/>
          <w:bCs/>
          <w:sz w:val="21"/>
          <w:szCs w:val="21"/>
        </w:rPr>
        <w:t>（4） 其他说明</w:t>
      </w:r>
      <w:bookmarkEnd w:id="525"/>
    </w:p>
    <w:p>
      <w:pPr>
        <w:keepNext/>
        <w:keepLines/>
        <w:spacing w:before="300" w:after="300" w:line="280" w:lineRule="exact"/>
        <w:jc w:val="left"/>
        <w:outlineLvl w:val="2"/>
        <w:rPr>
          <w:rFonts w:ascii="宋体" w:hAnsi="宋体" w:eastAsia="宋体" w:cs="宋体"/>
          <w:b/>
          <w:bCs/>
          <w:sz w:val="21"/>
          <w:szCs w:val="21"/>
        </w:rPr>
      </w:pPr>
      <w:bookmarkStart w:id="526" w:name="_Toc989415"/>
      <w:r>
        <w:rPr>
          <w:rFonts w:ascii="宋体" w:hAnsi="宋体" w:eastAsia="宋体" w:cs="宋体"/>
          <w:b/>
          <w:bCs/>
          <w:sz w:val="21"/>
          <w:szCs w:val="21"/>
        </w:rPr>
        <w:t>7、其他对投资者决策有影响的重要交易和事项</w:t>
      </w:r>
      <w:bookmarkEnd w:id="526"/>
    </w:p>
    <w:p>
      <w:pPr>
        <w:keepNext/>
        <w:keepLines/>
        <w:spacing w:before="300" w:after="300" w:line="280" w:lineRule="exact"/>
        <w:jc w:val="left"/>
        <w:outlineLvl w:val="2"/>
        <w:rPr>
          <w:rFonts w:ascii="宋体" w:hAnsi="宋体" w:eastAsia="宋体" w:cs="宋体"/>
          <w:b/>
          <w:bCs/>
          <w:sz w:val="21"/>
          <w:szCs w:val="21"/>
        </w:rPr>
      </w:pPr>
      <w:bookmarkStart w:id="527" w:name="_Toc989416"/>
      <w:r>
        <w:rPr>
          <w:rFonts w:ascii="宋体" w:hAnsi="宋体" w:eastAsia="宋体" w:cs="宋体"/>
          <w:b/>
          <w:bCs/>
          <w:sz w:val="21"/>
          <w:szCs w:val="21"/>
        </w:rPr>
        <w:t>8、其他</w:t>
      </w:r>
      <w:bookmarkEnd w:id="527"/>
    </w:p>
    <w:p>
      <w:pPr>
        <w:keepNext/>
        <w:keepLines/>
        <w:spacing w:before="300" w:after="300" w:line="320" w:lineRule="exact"/>
        <w:jc w:val="left"/>
        <w:outlineLvl w:val="1"/>
        <w:rPr>
          <w:rFonts w:ascii="宋体" w:hAnsi="宋体" w:eastAsia="宋体" w:cs="宋体"/>
          <w:b/>
          <w:bCs/>
          <w:sz w:val="24"/>
          <w:szCs w:val="24"/>
        </w:rPr>
      </w:pPr>
      <w:bookmarkStart w:id="528" w:name="_Toc989417"/>
      <w:r>
        <w:rPr>
          <w:rFonts w:ascii="宋体" w:hAnsi="宋体" w:eastAsia="宋体" w:cs="宋体"/>
          <w:b/>
          <w:bCs/>
          <w:sz w:val="24"/>
          <w:szCs w:val="24"/>
        </w:rPr>
        <w:t>十九、母公司财务报表主要项目注释</w:t>
      </w:r>
      <w:bookmarkEnd w:id="528"/>
    </w:p>
    <w:p>
      <w:pPr>
        <w:keepNext/>
        <w:keepLines/>
        <w:spacing w:before="300" w:after="300" w:line="280" w:lineRule="exact"/>
        <w:jc w:val="left"/>
        <w:outlineLvl w:val="2"/>
        <w:rPr>
          <w:rFonts w:ascii="宋体" w:hAnsi="宋体" w:eastAsia="宋体" w:cs="宋体"/>
          <w:b/>
          <w:bCs/>
          <w:sz w:val="21"/>
          <w:szCs w:val="21"/>
        </w:rPr>
      </w:pPr>
      <w:bookmarkStart w:id="529" w:name="_Toc989418"/>
      <w:r>
        <w:rPr>
          <w:rFonts w:ascii="宋体" w:hAnsi="宋体" w:eastAsia="宋体" w:cs="宋体"/>
          <w:b/>
          <w:bCs/>
          <w:sz w:val="21"/>
          <w:szCs w:val="21"/>
        </w:rPr>
        <w:t>1、应收账款</w:t>
      </w:r>
      <w:bookmarkEnd w:id="529"/>
    </w:p>
    <w:p>
      <w:pPr>
        <w:keepNext/>
        <w:keepLines/>
        <w:spacing w:before="300" w:after="300" w:line="280" w:lineRule="exact"/>
        <w:jc w:val="left"/>
        <w:outlineLvl w:val="3"/>
        <w:rPr>
          <w:rFonts w:ascii="宋体" w:hAnsi="宋体" w:eastAsia="宋体" w:cs="宋体"/>
          <w:b/>
          <w:bCs/>
          <w:sz w:val="21"/>
          <w:szCs w:val="21"/>
        </w:rPr>
      </w:pPr>
      <w:bookmarkStart w:id="530" w:name="_Toc989419"/>
      <w:r>
        <w:rPr>
          <w:rFonts w:ascii="宋体" w:hAnsi="宋体" w:eastAsia="宋体" w:cs="宋体"/>
          <w:b/>
          <w:bCs/>
          <w:sz w:val="21"/>
          <w:szCs w:val="21"/>
        </w:rPr>
        <w:t>（1） 按账龄披露</w:t>
      </w:r>
      <w:bookmarkEnd w:id="530"/>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账龄</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期末账面余额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期初账面余额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1年以内（含1年）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397,205,315.18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442,807,055.47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1至2年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56,690,572.06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57,674,734.47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2至3年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49,231,367.50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28,359,117.83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3年以上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70,072,948.86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46,933,455.39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3至4年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26,689,531.63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17,346,148.09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4至5年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16,090,093.03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11,772,213.48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5年以上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27,293,324.20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17,815,093.82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573,200,203.60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575,774,363.16</w:t>
            </w:r>
          </w:p>
        </w:tc>
      </w:tr>
    </w:tbl>
    <w:p>
      <w:pPr>
        <w:keepNext/>
        <w:keepLines/>
        <w:spacing w:before="300" w:after="300" w:line="280" w:lineRule="exact"/>
        <w:jc w:val="left"/>
        <w:outlineLvl w:val="3"/>
        <w:rPr>
          <w:rFonts w:ascii="宋体" w:hAnsi="宋体" w:eastAsia="宋体" w:cs="宋体"/>
          <w:b/>
          <w:bCs/>
          <w:sz w:val="21"/>
          <w:szCs w:val="21"/>
        </w:rPr>
      </w:pPr>
      <w:bookmarkStart w:id="531" w:name="_Toc989420"/>
      <w:r>
        <w:rPr>
          <w:rFonts w:ascii="宋体" w:hAnsi="宋体" w:eastAsia="宋体" w:cs="宋体"/>
          <w:b/>
          <w:bCs/>
          <w:sz w:val="21"/>
          <w:szCs w:val="21"/>
        </w:rPr>
        <w:t>（2） 按坏账计提方法分类披露</w:t>
      </w:r>
      <w:bookmarkEnd w:id="53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按单项计提坏账准备的应收账款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按组合计提坏账准备的应收账款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561,442,007.90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97.95%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3,462,190.93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557,979,816.97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564,016,167.46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97.96%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3,462,190.93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560,553,976.53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账龄分析组合</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9,441,031.97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3,462,190.93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36.67%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5,978,841.04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8,296,709.97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3,462,190.93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41.73%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低风险组合</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552,000,975.93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96.30%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555,719,457.49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96.52%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573,200,203.60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15,220,386.63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557,979,816.97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575,774,363.16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15,220,386.63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560,553,976.53</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按单项计提坏账准备类别名称：</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计提理由</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国网吉林省电力有限公司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预计不可收回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按组合计提坏账准备类别名称：</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7230"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账龄组合</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9,441,031.97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3,462,190.93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低风险组合</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552,000,975.93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561,442,007.90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3,462,190.93</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确定该组合依据的说明：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如是按照预期信用损失一般模型计提应收账款坏账准备：</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第一阶段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第二阶段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第三阶段</w:t>
            </w:r>
          </w:p>
        </w:tc>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未来12个月预期信用损失</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整个存续期预期信用损失（未发生信用减值）</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整个存续期预期信用损失（已发生信用减值）</w:t>
            </w:r>
          </w:p>
        </w:tc>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2024年1月1日余额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301,922.87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14,918,463.76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15,220,386.63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2024年1月1日余额在本期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2024年6月30日余额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301,922.87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14,918,463.76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15,220,386.63</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各阶段划分依据和坏账准备计提比例</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对本期发生损失准备变动的应收账款账面余额显著变动的情况说明：</w:t>
      </w:r>
    </w:p>
    <w:p>
      <w:pPr>
        <w:keepNext/>
        <w:keepLines/>
        <w:spacing w:before="300" w:after="300" w:line="280" w:lineRule="exact"/>
        <w:jc w:val="left"/>
        <w:outlineLvl w:val="3"/>
        <w:rPr>
          <w:rFonts w:ascii="宋体" w:hAnsi="宋体" w:eastAsia="宋体" w:cs="宋体"/>
          <w:b/>
          <w:bCs/>
          <w:sz w:val="21"/>
          <w:szCs w:val="21"/>
        </w:rPr>
      </w:pPr>
      <w:bookmarkStart w:id="532" w:name="_Toc989421"/>
      <w:r>
        <w:rPr>
          <w:rFonts w:ascii="宋体" w:hAnsi="宋体" w:eastAsia="宋体" w:cs="宋体"/>
          <w:b/>
          <w:bCs/>
          <w:sz w:val="21"/>
          <w:szCs w:val="21"/>
        </w:rPr>
        <w:t>（3） 本期计提、收回或转回的坏账准备情况</w:t>
      </w:r>
      <w:bookmarkEnd w:id="532"/>
    </w:p>
    <w:p>
      <w:pPr>
        <w:spacing w:before="40" w:after="40" w:line="240" w:lineRule="exact"/>
        <w:jc w:val="left"/>
        <w:rPr>
          <w:rFonts w:ascii="宋体" w:hAnsi="宋体" w:eastAsia="宋体" w:cs="宋体"/>
          <w:sz w:val="18"/>
          <w:szCs w:val="18"/>
        </w:rPr>
      </w:pPr>
      <w:r>
        <w:rPr>
          <w:rFonts w:ascii="宋体" w:hAnsi="宋体" w:eastAsia="宋体" w:cs="宋体"/>
          <w:sz w:val="18"/>
          <w:szCs w:val="18"/>
        </w:rPr>
        <w:t>本期计提坏账准备情况：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单项计提坏账准备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按组合计提坏账准备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3,462,190.93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3,462,190.93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15,220,386.63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15,220,386.63</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其中本期坏账准备收回或转回金额重要的：</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确定原坏账准备计提比例的依据及其合理性</w:t>
            </w:r>
          </w:p>
        </w:tc>
      </w:tr>
    </w:tbl>
    <w:p>
      <w:pPr>
        <w:spacing w:before="100" w:after="100" w:line="0" w:lineRule="exact"/>
        <w:jc w:val="left"/>
      </w:pPr>
    </w:p>
    <w:p>
      <w:pPr>
        <w:keepNext/>
        <w:keepLines/>
        <w:spacing w:before="300" w:after="300" w:line="280" w:lineRule="exact"/>
        <w:jc w:val="left"/>
        <w:outlineLvl w:val="3"/>
        <w:rPr>
          <w:rFonts w:ascii="宋体" w:hAnsi="宋体" w:eastAsia="宋体" w:cs="宋体"/>
          <w:b/>
          <w:bCs/>
          <w:sz w:val="21"/>
          <w:szCs w:val="21"/>
        </w:rPr>
      </w:pPr>
      <w:bookmarkStart w:id="533" w:name="_Toc989422"/>
      <w:r>
        <w:rPr>
          <w:rFonts w:ascii="宋体" w:hAnsi="宋体" w:eastAsia="宋体" w:cs="宋体"/>
          <w:b/>
          <w:bCs/>
          <w:sz w:val="21"/>
          <w:szCs w:val="21"/>
        </w:rPr>
        <w:t>（4） 本期实际核销的应收账款情况</w:t>
      </w:r>
      <w:bookmarkEnd w:id="53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r>
    </w:tbl>
    <w:p>
      <w:pPr>
        <w:spacing w:before="100" w:after="40" w:line="240" w:lineRule="exact"/>
        <w:jc w:val="left"/>
        <w:rPr>
          <w:rFonts w:ascii="宋体" w:hAnsi="宋体" w:eastAsia="宋体" w:cs="宋体"/>
          <w:sz w:val="18"/>
          <w:szCs w:val="18"/>
        </w:rPr>
      </w:pPr>
      <w:r>
        <w:rPr>
          <w:rFonts w:ascii="宋体" w:hAnsi="宋体" w:eastAsia="宋体" w:cs="宋体"/>
          <w:sz w:val="18"/>
          <w:szCs w:val="18"/>
        </w:rPr>
        <w:t>其中重要的应收账款核销情况：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应收账款性质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款项是否由关联交易产生</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应收账款核销说明：</w:t>
      </w:r>
    </w:p>
    <w:p>
      <w:pPr>
        <w:keepNext/>
        <w:keepLines/>
        <w:spacing w:before="300" w:after="300" w:line="280" w:lineRule="exact"/>
        <w:jc w:val="left"/>
        <w:outlineLvl w:val="3"/>
        <w:rPr>
          <w:rFonts w:ascii="宋体" w:hAnsi="宋体" w:eastAsia="宋体" w:cs="宋体"/>
          <w:b/>
          <w:bCs/>
          <w:sz w:val="21"/>
          <w:szCs w:val="21"/>
        </w:rPr>
      </w:pPr>
      <w:bookmarkStart w:id="534" w:name="_Toc989423"/>
      <w:r>
        <w:rPr>
          <w:rFonts w:ascii="宋体" w:hAnsi="宋体" w:eastAsia="宋体" w:cs="宋体"/>
          <w:b/>
          <w:bCs/>
          <w:sz w:val="21"/>
          <w:szCs w:val="21"/>
        </w:rPr>
        <w:t>（5） 按欠款方归集的期末余额前五名的应收账款和合同资产情况</w:t>
      </w:r>
      <w:bookmarkEnd w:id="53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应收账款期末余额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合同资产期末余额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应收账款和合同资产期末余额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占应收账款和合同资产期末余额合计数的比例</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应收账款坏账准备和合同资产减值准备期末余额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国网吉林省电力有限公司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321,686,782.24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321,686,782.24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56.12%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长春吉电热力有限公司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108,534,123.72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108,534,123.72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白城市京科集中供热有限公司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92,357,132.84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92,357,132.84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长春吉电能源科技有限公司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16,445,234.13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16,445,234.13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中电华创电力技术研究有限公司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8,169,960.00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8,169,960.00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547,193,232.93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547,193,232.93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95.46%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r>
    </w:tbl>
    <w:p>
      <w:pPr>
        <w:keepNext/>
        <w:keepLines/>
        <w:spacing w:before="300" w:after="300" w:line="280" w:lineRule="exact"/>
        <w:jc w:val="left"/>
        <w:outlineLvl w:val="2"/>
        <w:rPr>
          <w:rFonts w:ascii="宋体" w:hAnsi="宋体" w:eastAsia="宋体" w:cs="宋体"/>
          <w:b/>
          <w:bCs/>
          <w:sz w:val="21"/>
          <w:szCs w:val="21"/>
        </w:rPr>
      </w:pPr>
      <w:bookmarkStart w:id="535" w:name="_Toc989424"/>
      <w:r>
        <w:rPr>
          <w:rFonts w:ascii="宋体" w:hAnsi="宋体" w:eastAsia="宋体" w:cs="宋体"/>
          <w:b/>
          <w:bCs/>
          <w:sz w:val="21"/>
          <w:szCs w:val="21"/>
        </w:rPr>
        <w:t>2、其他应收款</w:t>
      </w:r>
      <w:bookmarkEnd w:id="53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应收股利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124,152,908.66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75,556,235.46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其他应收款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6,951,815,682.64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8,274,911,267.64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7,075,968,591.30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8,350,467,503.10</w:t>
            </w:r>
          </w:p>
        </w:tc>
      </w:tr>
    </w:tbl>
    <w:p>
      <w:pPr>
        <w:keepNext/>
        <w:keepLines/>
        <w:spacing w:before="300" w:after="300" w:line="280" w:lineRule="exact"/>
        <w:jc w:val="left"/>
        <w:outlineLvl w:val="3"/>
        <w:rPr>
          <w:rFonts w:ascii="宋体" w:hAnsi="宋体" w:eastAsia="宋体" w:cs="宋体"/>
          <w:b/>
          <w:bCs/>
          <w:sz w:val="18"/>
          <w:szCs w:val="18"/>
        </w:rPr>
      </w:pPr>
      <w:bookmarkStart w:id="536" w:name="_Toc989425"/>
      <w:r>
        <w:rPr>
          <w:rFonts w:ascii="宋体" w:hAnsi="宋体" w:eastAsia="宋体" w:cs="宋体"/>
          <w:b/>
          <w:bCs/>
          <w:sz w:val="18"/>
          <w:szCs w:val="18"/>
        </w:rPr>
        <w:t>（1） 应收利息</w:t>
      </w:r>
      <w:bookmarkEnd w:id="536"/>
    </w:p>
    <w:p>
      <w:pPr>
        <w:keepNext/>
        <w:keepLines/>
        <w:spacing w:before="300" w:after="300" w:line="280" w:lineRule="exact"/>
        <w:jc w:val="left"/>
        <w:outlineLvl w:val="4"/>
        <w:rPr>
          <w:rFonts w:ascii="宋体" w:hAnsi="宋体" w:eastAsia="宋体" w:cs="宋体"/>
          <w:b/>
          <w:bCs/>
          <w:sz w:val="18"/>
          <w:szCs w:val="18"/>
        </w:rPr>
      </w:pPr>
      <w:bookmarkStart w:id="537" w:name="_Toc989426"/>
      <w:r>
        <w:rPr>
          <w:rFonts w:ascii="宋体" w:hAnsi="宋体" w:eastAsia="宋体" w:cs="宋体"/>
          <w:b/>
          <w:bCs/>
          <w:sz w:val="18"/>
          <w:szCs w:val="18"/>
        </w:rPr>
        <w:t>1） 应收利息分类</w:t>
      </w:r>
      <w:bookmarkEnd w:id="53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bl>
    <w:p>
      <w:pPr>
        <w:keepNext/>
        <w:keepLines/>
        <w:spacing w:before="300" w:after="300" w:line="280" w:lineRule="exact"/>
        <w:jc w:val="left"/>
        <w:outlineLvl w:val="4"/>
        <w:rPr>
          <w:rFonts w:ascii="宋体" w:hAnsi="宋体" w:eastAsia="宋体" w:cs="宋体"/>
          <w:b/>
          <w:bCs/>
          <w:sz w:val="18"/>
          <w:szCs w:val="18"/>
        </w:rPr>
      </w:pPr>
      <w:bookmarkStart w:id="538" w:name="_Toc989427"/>
      <w:r>
        <w:rPr>
          <w:rFonts w:ascii="宋体" w:hAnsi="宋体" w:eastAsia="宋体" w:cs="宋体"/>
          <w:b/>
          <w:bCs/>
          <w:sz w:val="18"/>
          <w:szCs w:val="18"/>
        </w:rPr>
        <w:t>2） 重要逾期利息</w:t>
      </w:r>
      <w:bookmarkEnd w:id="53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借款单位</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逾期时间</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逾期原因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是否发生减值及其判断依据</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4"/>
        <w:rPr>
          <w:rFonts w:ascii="宋体" w:hAnsi="宋体" w:eastAsia="宋体" w:cs="宋体"/>
          <w:b/>
          <w:bCs/>
          <w:sz w:val="18"/>
          <w:szCs w:val="18"/>
        </w:rPr>
      </w:pPr>
      <w:bookmarkStart w:id="539" w:name="_Toc989428"/>
      <w:r>
        <w:rPr>
          <w:rFonts w:ascii="宋体" w:hAnsi="宋体" w:eastAsia="宋体" w:cs="宋体"/>
          <w:b/>
          <w:bCs/>
          <w:sz w:val="18"/>
          <w:szCs w:val="18"/>
        </w:rPr>
        <w:t>3） 按坏账计提方法分类披露</w:t>
      </w:r>
      <w:bookmarkEnd w:id="539"/>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4"/>
        <w:rPr>
          <w:rFonts w:ascii="宋体" w:hAnsi="宋体" w:eastAsia="宋体" w:cs="宋体"/>
          <w:b/>
          <w:bCs/>
          <w:sz w:val="18"/>
          <w:szCs w:val="18"/>
        </w:rPr>
      </w:pPr>
      <w:bookmarkStart w:id="540" w:name="_Toc989429"/>
      <w:r>
        <w:rPr>
          <w:rFonts w:ascii="宋体" w:hAnsi="宋体" w:eastAsia="宋体" w:cs="宋体"/>
          <w:b/>
          <w:bCs/>
          <w:sz w:val="18"/>
          <w:szCs w:val="18"/>
        </w:rPr>
        <w:t>4） 本期计提、收回或转回的坏账准备的情况</w:t>
      </w:r>
      <w:bookmarkEnd w:id="54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转销或核销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其他变动</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其中本期坏账准备收回或转回金额重要的：</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确定原坏账准备计提比例的依据及其合理性</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4"/>
        <w:rPr>
          <w:rFonts w:ascii="宋体" w:hAnsi="宋体" w:eastAsia="宋体" w:cs="宋体"/>
          <w:b/>
          <w:bCs/>
          <w:sz w:val="18"/>
          <w:szCs w:val="18"/>
        </w:rPr>
      </w:pPr>
      <w:bookmarkStart w:id="541" w:name="_Toc989430"/>
      <w:r>
        <w:rPr>
          <w:rFonts w:ascii="宋体" w:hAnsi="宋体" w:eastAsia="宋体" w:cs="宋体"/>
          <w:b/>
          <w:bCs/>
          <w:sz w:val="18"/>
          <w:szCs w:val="18"/>
        </w:rPr>
        <w:t>5） 本期实际核销的应收利息情况</w:t>
      </w:r>
      <w:bookmarkEnd w:id="54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其中重要的应收利息核销情况</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款项是否由关联交易产生</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核销说明：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542" w:name="_Toc989431"/>
      <w:r>
        <w:rPr>
          <w:rFonts w:ascii="宋体" w:hAnsi="宋体" w:eastAsia="宋体" w:cs="宋体"/>
          <w:b/>
          <w:bCs/>
          <w:sz w:val="18"/>
          <w:szCs w:val="18"/>
        </w:rPr>
        <w:t>（2） 应收股利</w:t>
      </w:r>
      <w:bookmarkEnd w:id="542"/>
    </w:p>
    <w:p>
      <w:pPr>
        <w:keepNext/>
        <w:keepLines/>
        <w:spacing w:before="300" w:after="300" w:line="280" w:lineRule="exact"/>
        <w:jc w:val="left"/>
        <w:outlineLvl w:val="4"/>
        <w:rPr>
          <w:rFonts w:ascii="宋体" w:hAnsi="宋体" w:eastAsia="宋体" w:cs="宋体"/>
          <w:b/>
          <w:bCs/>
          <w:sz w:val="18"/>
          <w:szCs w:val="18"/>
        </w:rPr>
      </w:pPr>
      <w:bookmarkStart w:id="543" w:name="_Toc989432"/>
      <w:r>
        <w:rPr>
          <w:rFonts w:ascii="宋体" w:hAnsi="宋体" w:eastAsia="宋体" w:cs="宋体"/>
          <w:b/>
          <w:bCs/>
          <w:sz w:val="18"/>
          <w:szCs w:val="18"/>
        </w:rPr>
        <w:t>1） 应收股利分类</w:t>
      </w:r>
      <w:bookmarkEnd w:id="54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项目(或被投资单位)</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张掖吉电新能源有限公司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6,348,932.58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康保恩发光伏发电有限公司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3,296,234.90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3,296,234.90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松原市上元新能源有限公司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3,214,840.62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长丰吉电新能源有限公司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15,016,050.33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15,016,050.33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吉电定州新能源科技有限公司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6,288,542.74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6,288,542.74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北京吉能新能源科技有限公司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39,032,900.00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陕西定边清洁能源发电有限公司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15,622,674.08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15,622,674.08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陕西定边光能发电有限公司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7,903,537.61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7,903,537.61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吉电（滁州）章广风力发电有限公司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17,170,548.13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17,170,548.13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青海中电投吉电新能源有限公司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10,258,647.67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10,258,647.67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124,152,908.66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75,556,235.46</w:t>
            </w:r>
          </w:p>
        </w:tc>
      </w:tr>
    </w:tbl>
    <w:p>
      <w:pPr>
        <w:keepNext/>
        <w:keepLines/>
        <w:spacing w:before="300" w:after="300" w:line="280" w:lineRule="exact"/>
        <w:jc w:val="left"/>
        <w:outlineLvl w:val="4"/>
        <w:rPr>
          <w:rFonts w:ascii="宋体" w:hAnsi="宋体" w:eastAsia="宋体" w:cs="宋体"/>
          <w:b/>
          <w:bCs/>
          <w:sz w:val="18"/>
          <w:szCs w:val="18"/>
        </w:rPr>
      </w:pPr>
      <w:bookmarkStart w:id="544" w:name="_Toc989433"/>
      <w:r>
        <w:rPr>
          <w:rFonts w:ascii="宋体" w:hAnsi="宋体" w:eastAsia="宋体" w:cs="宋体"/>
          <w:b/>
          <w:bCs/>
          <w:sz w:val="18"/>
          <w:szCs w:val="18"/>
        </w:rPr>
        <w:t>2） 重要的账龄超过1年的应收股利</w:t>
      </w:r>
      <w:bookmarkEnd w:id="54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项目(或被投资单位)</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账龄</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未收回的原因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是否发生减值及其判断依据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吉电（滁州）章广风力发电有限公司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17,170,548.13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2-3年</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对方暂未支付</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否，近三年盈利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陕西定边清洁能源发电有限公司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15,622,674.08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2-3年</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对方暂未支付</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否，近三年盈利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长丰吉电新能源有限公司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15,016,050.33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2-3年</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对方暂未支付</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否，近三年盈利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青海中电投吉电新能源有限公司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10,258,647.67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2-3年</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对方暂未支付</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否，近三年盈利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58,067,920.21</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keepNext/>
        <w:keepLines/>
        <w:spacing w:before="300" w:after="300" w:line="280" w:lineRule="exact"/>
        <w:jc w:val="left"/>
        <w:outlineLvl w:val="4"/>
        <w:rPr>
          <w:rFonts w:ascii="宋体" w:hAnsi="宋体" w:eastAsia="宋体" w:cs="宋体"/>
          <w:b/>
          <w:bCs/>
          <w:sz w:val="18"/>
          <w:szCs w:val="18"/>
        </w:rPr>
      </w:pPr>
      <w:bookmarkStart w:id="545" w:name="_Toc989434"/>
      <w:r>
        <w:rPr>
          <w:rFonts w:ascii="宋体" w:hAnsi="宋体" w:eastAsia="宋体" w:cs="宋体"/>
          <w:b/>
          <w:bCs/>
          <w:sz w:val="18"/>
          <w:szCs w:val="18"/>
        </w:rPr>
        <w:t>3） 按坏账计提方法分类披露</w:t>
      </w:r>
      <w:bookmarkEnd w:id="545"/>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4"/>
        <w:rPr>
          <w:rFonts w:ascii="宋体" w:hAnsi="宋体" w:eastAsia="宋体" w:cs="宋体"/>
          <w:b/>
          <w:bCs/>
          <w:sz w:val="18"/>
          <w:szCs w:val="18"/>
        </w:rPr>
      </w:pPr>
      <w:bookmarkStart w:id="546" w:name="_Toc989435"/>
      <w:r>
        <w:rPr>
          <w:rFonts w:ascii="宋体" w:hAnsi="宋体" w:eastAsia="宋体" w:cs="宋体"/>
          <w:b/>
          <w:bCs/>
          <w:sz w:val="18"/>
          <w:szCs w:val="18"/>
        </w:rPr>
        <w:t>4） 本期计提、收回或转回的坏账准备的情况</w:t>
      </w:r>
      <w:bookmarkEnd w:id="54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转销或核销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其他变动</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其中本期坏账准备收回或转回金额重要的：</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确定原坏账准备计提比例的依据及其合理性</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4"/>
        <w:rPr>
          <w:rFonts w:ascii="宋体" w:hAnsi="宋体" w:eastAsia="宋体" w:cs="宋体"/>
          <w:b/>
          <w:bCs/>
          <w:sz w:val="18"/>
          <w:szCs w:val="18"/>
        </w:rPr>
      </w:pPr>
      <w:bookmarkStart w:id="547" w:name="_Toc989436"/>
      <w:r>
        <w:rPr>
          <w:rFonts w:ascii="宋体" w:hAnsi="宋体" w:eastAsia="宋体" w:cs="宋体"/>
          <w:b/>
          <w:bCs/>
          <w:sz w:val="18"/>
          <w:szCs w:val="18"/>
        </w:rPr>
        <w:t>5） 本期实际核销的应收股利情况</w:t>
      </w:r>
      <w:bookmarkEnd w:id="54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其中重要的应收股利核销情况</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款项是否由关联交易产生</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核销说明：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548" w:name="_Toc989437"/>
      <w:r>
        <w:rPr>
          <w:rFonts w:ascii="宋体" w:hAnsi="宋体" w:eastAsia="宋体" w:cs="宋体"/>
          <w:b/>
          <w:bCs/>
          <w:sz w:val="18"/>
          <w:szCs w:val="18"/>
        </w:rPr>
        <w:t>（3） 其他应收款</w:t>
      </w:r>
      <w:bookmarkEnd w:id="548"/>
    </w:p>
    <w:p>
      <w:pPr>
        <w:keepNext/>
        <w:keepLines/>
        <w:spacing w:before="300" w:after="300" w:line="280" w:lineRule="exact"/>
        <w:jc w:val="left"/>
        <w:outlineLvl w:val="4"/>
        <w:rPr>
          <w:rFonts w:ascii="宋体" w:hAnsi="宋体" w:eastAsia="宋体" w:cs="宋体"/>
          <w:b/>
          <w:bCs/>
          <w:sz w:val="18"/>
          <w:szCs w:val="18"/>
        </w:rPr>
      </w:pPr>
      <w:bookmarkStart w:id="549" w:name="_Toc989438"/>
      <w:r>
        <w:rPr>
          <w:rFonts w:ascii="宋体" w:hAnsi="宋体" w:eastAsia="宋体" w:cs="宋体"/>
          <w:b/>
          <w:bCs/>
          <w:sz w:val="18"/>
          <w:szCs w:val="18"/>
        </w:rPr>
        <w:t>1） 其他应收款按款项性质分类情况</w:t>
      </w:r>
      <w:bookmarkEnd w:id="54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款项性质</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期末账面余额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期初账面余额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6,853,550,096.75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8,177,043,188.06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押金、保证金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5,295,048.58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5,249,048.58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备用金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1,002,150.00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982,150.00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121,872,697.22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121,541,190.91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6,981,719,992.55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8,304,815,577.55</w:t>
            </w:r>
          </w:p>
        </w:tc>
      </w:tr>
    </w:tbl>
    <w:p>
      <w:pPr>
        <w:keepNext/>
        <w:keepLines/>
        <w:spacing w:before="300" w:after="300" w:line="280" w:lineRule="exact"/>
        <w:jc w:val="left"/>
        <w:outlineLvl w:val="4"/>
        <w:rPr>
          <w:rFonts w:ascii="宋体" w:hAnsi="宋体" w:eastAsia="宋体" w:cs="宋体"/>
          <w:b/>
          <w:bCs/>
          <w:sz w:val="18"/>
          <w:szCs w:val="18"/>
        </w:rPr>
      </w:pPr>
      <w:bookmarkStart w:id="550" w:name="_Toc989439"/>
      <w:r>
        <w:rPr>
          <w:rFonts w:ascii="宋体" w:hAnsi="宋体" w:eastAsia="宋体" w:cs="宋体"/>
          <w:b/>
          <w:bCs/>
          <w:sz w:val="18"/>
          <w:szCs w:val="18"/>
        </w:rPr>
        <w:t>2） 按账龄披露</w:t>
      </w:r>
      <w:bookmarkEnd w:id="55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账龄</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期末账面余额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期初账面余额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1年以内（含1年）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5,879,540,886.31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5,059,696,972.08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1至2年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21,279,107.00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1,835,467,989.58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2至3年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36,726,600.00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1,129,261,427.34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3年以上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1,044,173,399.24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280,389,188.55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3至4年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1,039,487,567.34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269,927,336.64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5年以上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4,685,831.90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10,461,851.91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6,981,719,992.55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8,304,815,577.55</w:t>
            </w:r>
          </w:p>
        </w:tc>
      </w:tr>
    </w:tbl>
    <w:p>
      <w:pPr>
        <w:keepNext/>
        <w:keepLines/>
        <w:spacing w:before="300" w:after="300" w:line="280" w:lineRule="exact"/>
        <w:jc w:val="left"/>
        <w:outlineLvl w:val="4"/>
        <w:rPr>
          <w:rFonts w:ascii="宋体" w:hAnsi="宋体" w:eastAsia="宋体" w:cs="宋体"/>
          <w:b/>
          <w:bCs/>
          <w:sz w:val="18"/>
          <w:szCs w:val="18"/>
        </w:rPr>
      </w:pPr>
      <w:bookmarkStart w:id="551" w:name="_Toc989440"/>
      <w:r>
        <w:rPr>
          <w:rFonts w:ascii="宋体" w:hAnsi="宋体" w:eastAsia="宋体" w:cs="宋体"/>
          <w:b/>
          <w:bCs/>
          <w:sz w:val="18"/>
          <w:szCs w:val="18"/>
        </w:rPr>
        <w:t>3） 按坏账计提方法分类披露</w:t>
      </w:r>
      <w:bookmarkEnd w:id="55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按单项计提坏账准备</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19,442,458.00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19,442,458.00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19,442,458.00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19,442,458.00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按组合计提坏账准备</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6,962,277,534.55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99.72%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10,461,851.91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0.15%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6,951,815,682.64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8,285,373,119.55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99.77%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10,461,851.91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0.13%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8,274,911,267.64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账龄组合</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10,461,851.91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0.15%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10,461,851.91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10,461,851.91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0.13%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10,461,851.91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低风险组合</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6,951,815,682.64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99.57%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6,951,815,682.64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8,274,911,267.64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99.64%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8,274,911,267.64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6,981,719,992.55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29,904,309.91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0.43%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6,951,815,682.64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8,304,815,577.55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29,904,309.91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8,274,911,267.64</w:t>
            </w:r>
          </w:p>
        </w:tc>
      </w:tr>
    </w:tbl>
    <w:p>
      <w:pPr>
        <w:spacing w:before="0" w:after="0" w:line="240" w:lineRule="exact"/>
        <w:jc w:val="left"/>
        <w:rPr>
          <w:rFonts w:ascii="宋体" w:hAnsi="宋体" w:eastAsia="宋体" w:cs="宋体"/>
          <w:sz w:val="18"/>
          <w:szCs w:val="18"/>
        </w:rPr>
      </w:pPr>
      <w:r>
        <w:rPr>
          <w:rFonts w:ascii="宋体" w:hAnsi="宋体" w:eastAsia="宋体" w:cs="宋体"/>
          <w:sz w:val="18"/>
          <w:szCs w:val="18"/>
        </w:rPr>
        <w:t>按单项计提坏账准备类别名称：</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计提理由</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长春市双阳区人民政府奢岭街道办事处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18,965,858.00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18,965,858.00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18,965,858.00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18,965,858.00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预计无法收回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18,965,858.00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18,965,858.00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18,965,858.00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18,965,858.00</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0" w:after="0" w:line="240" w:lineRule="exact"/>
        <w:jc w:val="left"/>
        <w:rPr>
          <w:rFonts w:ascii="宋体" w:hAnsi="宋体" w:eastAsia="宋体" w:cs="宋体"/>
          <w:sz w:val="18"/>
          <w:szCs w:val="18"/>
        </w:rPr>
      </w:pPr>
      <w:r>
        <w:rPr>
          <w:rFonts w:ascii="宋体" w:hAnsi="宋体" w:eastAsia="宋体" w:cs="宋体"/>
          <w:sz w:val="18"/>
          <w:szCs w:val="18"/>
        </w:rPr>
        <w:t>按组合计提坏账准备类别名称：</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Layout w:type="fixed"/>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7230"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低风险组合</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6,951,815,682.64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账龄组合</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10,461,851.91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10,461,851.91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6,962,277,534.55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10,461,851.91</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确定该组合依据的说明：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按预期信用损失一般模型计提坏账准备：</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第一阶段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第二阶段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第三阶段</w:t>
            </w:r>
          </w:p>
        </w:tc>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未来12个月预期信用损失</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整个存续期预期信用损失（未发生信用减值）</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整个存续期预期信用损失（已发生信用减值）</w:t>
            </w:r>
          </w:p>
        </w:tc>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2024年1月1日余额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29,904,309.91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29,904,309.91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2024年1月1日余额在本期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2024年6月30日余额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29,904,309.91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29,904,309.91</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各阶段划分依据和坏账准备计提比例</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损失准备本期变动金额重大的账面余额变动情况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4"/>
        <w:rPr>
          <w:rFonts w:ascii="宋体" w:hAnsi="宋体" w:eastAsia="宋体" w:cs="宋体"/>
          <w:b/>
          <w:bCs/>
          <w:sz w:val="18"/>
          <w:szCs w:val="18"/>
        </w:rPr>
      </w:pPr>
      <w:bookmarkStart w:id="552" w:name="_Toc989441"/>
      <w:r>
        <w:rPr>
          <w:rFonts w:ascii="宋体" w:hAnsi="宋体" w:eastAsia="宋体" w:cs="宋体"/>
          <w:b/>
          <w:bCs/>
          <w:sz w:val="18"/>
          <w:szCs w:val="18"/>
        </w:rPr>
        <w:t>4） 本期计提、收回或转回的坏账准备情况</w:t>
      </w:r>
      <w:bookmarkEnd w:id="552"/>
    </w:p>
    <w:p>
      <w:pPr>
        <w:spacing w:before="0" w:after="0" w:line="240" w:lineRule="exact"/>
        <w:jc w:val="left"/>
        <w:rPr>
          <w:rFonts w:ascii="宋体" w:hAnsi="宋体" w:eastAsia="宋体" w:cs="宋体"/>
          <w:sz w:val="18"/>
          <w:szCs w:val="18"/>
        </w:rPr>
      </w:pPr>
      <w:r>
        <w:rPr>
          <w:rFonts w:ascii="宋体" w:hAnsi="宋体" w:eastAsia="宋体" w:cs="宋体"/>
          <w:sz w:val="18"/>
          <w:szCs w:val="18"/>
        </w:rPr>
        <w:t>本期计提坏账准备情况：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转销或核销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40" w:line="240" w:lineRule="exact"/>
        <w:jc w:val="left"/>
        <w:rPr>
          <w:rFonts w:ascii="宋体" w:hAnsi="宋体" w:eastAsia="宋体" w:cs="宋体"/>
          <w:sz w:val="18"/>
          <w:szCs w:val="18"/>
        </w:rPr>
      </w:pPr>
      <w:r>
        <w:rPr>
          <w:rFonts w:ascii="宋体" w:hAnsi="宋体" w:eastAsia="宋体" w:cs="宋体"/>
          <w:sz w:val="18"/>
          <w:szCs w:val="18"/>
        </w:rPr>
        <w:t>其中本期坏账准备转回或收回金额重要的：</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转回或收回金额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确定原坏账准备计提比例的依据及其合理性</w:t>
            </w:r>
          </w:p>
        </w:tc>
      </w:tr>
    </w:tbl>
    <w:p>
      <w:pPr>
        <w:keepNext/>
        <w:keepLines/>
        <w:spacing w:before="300" w:after="300" w:line="280" w:lineRule="exact"/>
        <w:jc w:val="left"/>
        <w:outlineLvl w:val="4"/>
        <w:rPr>
          <w:rFonts w:ascii="宋体" w:hAnsi="宋体" w:eastAsia="宋体" w:cs="宋体"/>
          <w:b/>
          <w:bCs/>
          <w:sz w:val="18"/>
          <w:szCs w:val="18"/>
        </w:rPr>
      </w:pPr>
      <w:bookmarkStart w:id="553" w:name="_Toc989442"/>
      <w:r>
        <w:rPr>
          <w:rFonts w:ascii="宋体" w:hAnsi="宋体" w:eastAsia="宋体" w:cs="宋体"/>
          <w:b/>
          <w:bCs/>
          <w:sz w:val="18"/>
          <w:szCs w:val="18"/>
        </w:rPr>
        <w:t>5） 本期实际核销的其他应收款情况</w:t>
      </w:r>
      <w:bookmarkEnd w:id="55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r>
    </w:tbl>
    <w:p>
      <w:pPr>
        <w:spacing w:before="100" w:after="40" w:line="240" w:lineRule="exact"/>
        <w:jc w:val="left"/>
        <w:rPr>
          <w:rFonts w:ascii="宋体" w:hAnsi="宋体" w:eastAsia="宋体" w:cs="宋体"/>
          <w:sz w:val="18"/>
          <w:szCs w:val="18"/>
        </w:rPr>
      </w:pPr>
      <w:r>
        <w:rPr>
          <w:rFonts w:ascii="宋体" w:hAnsi="宋体" w:eastAsia="宋体" w:cs="宋体"/>
          <w:sz w:val="18"/>
          <w:szCs w:val="18"/>
        </w:rPr>
        <w:t>其中重要的其他应收款核销情况：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其他应收款性质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款项是否由关联交易产生</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其他应收款核销说明：</w:t>
      </w:r>
    </w:p>
    <w:p>
      <w:pPr>
        <w:keepNext/>
        <w:keepLines/>
        <w:spacing w:before="300" w:after="300" w:line="280" w:lineRule="exact"/>
        <w:jc w:val="left"/>
        <w:outlineLvl w:val="4"/>
        <w:rPr>
          <w:rFonts w:ascii="宋体" w:hAnsi="宋体" w:eastAsia="宋体" w:cs="宋体"/>
          <w:b/>
          <w:bCs/>
          <w:sz w:val="18"/>
          <w:szCs w:val="18"/>
        </w:rPr>
      </w:pPr>
      <w:bookmarkStart w:id="554" w:name="_Toc989443"/>
      <w:r>
        <w:rPr>
          <w:rFonts w:ascii="宋体" w:hAnsi="宋体" w:eastAsia="宋体" w:cs="宋体"/>
          <w:b/>
          <w:bCs/>
          <w:sz w:val="18"/>
          <w:szCs w:val="18"/>
        </w:rPr>
        <w:t>6） 按欠款方归集的期末余额前五名的其他应收款情况</w:t>
      </w:r>
      <w:bookmarkEnd w:id="55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款项的性质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账龄</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占其他应收款期末余额合计数的比例</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安徽吉电新能源有限公司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2,857,292,566.43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1年以内、1-2年、2-3年</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40.93%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陕西吉电能源有限公司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593,248,819.02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1年以内、1-2年</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磐石吉电宏日智慧能源有限公司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538,648,928.86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1年以内、1-2年</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北京吉能新能源科技有限公司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478,618,254.49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1年以内、1-2年</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都兰大雪山风电有限责任公司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305,935,068.49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1年以内、1-2年、2-3年</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4,773,743,637.29</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68.39%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keepNext/>
        <w:keepLines/>
        <w:spacing w:before="300" w:after="300" w:line="280" w:lineRule="exact"/>
        <w:jc w:val="left"/>
        <w:outlineLvl w:val="4"/>
        <w:rPr>
          <w:rFonts w:ascii="宋体" w:hAnsi="宋体" w:eastAsia="宋体" w:cs="宋体"/>
          <w:b/>
          <w:bCs/>
          <w:sz w:val="18"/>
          <w:szCs w:val="18"/>
        </w:rPr>
      </w:pPr>
      <w:bookmarkStart w:id="555" w:name="_Toc989444"/>
      <w:r>
        <w:rPr>
          <w:rFonts w:ascii="宋体" w:hAnsi="宋体" w:eastAsia="宋体" w:cs="宋体"/>
          <w:b/>
          <w:bCs/>
          <w:sz w:val="18"/>
          <w:szCs w:val="18"/>
        </w:rPr>
        <w:t>7） 因资金集中管理而列报于其他应收款</w:t>
      </w:r>
      <w:bookmarkEnd w:id="55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556" w:name="_Toc989445"/>
      <w:r>
        <w:rPr>
          <w:rFonts w:ascii="宋体" w:hAnsi="宋体" w:eastAsia="宋体" w:cs="宋体"/>
          <w:b/>
          <w:bCs/>
          <w:sz w:val="21"/>
          <w:szCs w:val="21"/>
        </w:rPr>
        <w:t>3、长期股权投资</w:t>
      </w:r>
      <w:bookmarkEnd w:id="55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对子公司投资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16,144,109,458.20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16,144,109,458.20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15,114,739,458.20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15,114,739,458.20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对联营、合营企业投资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1,246,478,001.43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1,246,478,001.43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1,177,857,255.29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1,177,857,255.29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17,390,587,459.63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17,390,587,459.63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16,292,596,713.49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16,292,596,713.49</w:t>
            </w:r>
          </w:p>
        </w:tc>
      </w:tr>
    </w:tbl>
    <w:p>
      <w:pPr>
        <w:keepNext/>
        <w:keepLines/>
        <w:spacing w:before="300" w:after="300" w:line="280" w:lineRule="exact"/>
        <w:jc w:val="left"/>
        <w:outlineLvl w:val="3"/>
        <w:rPr>
          <w:rFonts w:ascii="宋体" w:hAnsi="宋体" w:eastAsia="宋体" w:cs="宋体"/>
          <w:b/>
          <w:bCs/>
          <w:sz w:val="21"/>
          <w:szCs w:val="21"/>
        </w:rPr>
      </w:pPr>
      <w:bookmarkStart w:id="557" w:name="_Toc989446"/>
      <w:r>
        <w:rPr>
          <w:rFonts w:ascii="宋体" w:hAnsi="宋体" w:eastAsia="宋体" w:cs="宋体"/>
          <w:b/>
          <w:bCs/>
          <w:sz w:val="21"/>
          <w:szCs w:val="21"/>
        </w:rPr>
        <w:t>（1） 对子公司投资</w:t>
      </w:r>
      <w:bookmarkEnd w:id="55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被投资单位</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期初余额（账面价值）</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减值准备期初余额</w:t>
            </w:r>
          </w:p>
        </w:tc>
        <w:tc>
          <w:tcPr>
            <w:tcW w:w="428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本期增减变动</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期末余额（账面价值）</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vMerge w:val="continue"/>
            <w:tcBorders>
              <w:top w:val="single" w:color="auto" w:sz="2" w:space="0"/>
              <w:left w:val="single" w:color="auto" w:sz="2" w:space="0"/>
              <w:bottom w:val="single" w:color="auto" w:sz="2" w:space="0"/>
              <w:right w:val="single" w:color="auto" w:sz="2" w:space="0"/>
            </w:tcBorders>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追加投资</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减少投资</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计提减值准备</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上海吉远绿色能源有限公司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内蒙古吉电智慧能源有限公司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吉林省汪清抽水蓄能有限公司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257,600,000.00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257,600,000.00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长春吉电绿能能源合伙企业（有限合伙）</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694,606,300.00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694,606,300.00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海南吉电智慧新能源有限公司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吉电宏日智慧能源（长春）有限公司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吉林更生东风力发电有限公司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49,880,600.00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49,880,600.00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吉电太能（浙江）智慧能源有限公司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吉电智慧能源（长春）有限公司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17,530,000.00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17,530,000.00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吉电智慧能源（长春汽车经济技术开发区）有限公司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114,370,000.00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115,570,000.00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吉林吉电绿色能源发展有限公司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409,965,300.00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450,000,000.00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859,965,300.00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四平吉电能源开发有限公司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2,560,000.00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2,560,000.00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吉电凯达发展能源（长春）有限公司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14,280,000.00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9,520,000.00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23,800,000.00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大连吉电智慧能源有限公司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3,503,669.40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3,503,669.40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白城绿电园区配售电有限公司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白城吉电绿电能源有限公司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177,000,000.00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187,000,000.00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大安吉电绿氢能源有限公司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439,000,000.00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250,000,000.00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689,000,000.00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吉电清能工融（北京）股权投资基金合伙企业（有限合伙）</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上海吉电企业发展有限公司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34,500,000.00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34,500,000.00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四川吉电能源有限公司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白城吉电氢能科技有限公司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25,234,000.00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25,234,000.00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汪清吉电能源有限公司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吉林省吉电昊姆智慧能源有限公司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兴安盟吉电双松新能源有限公司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寿光恒达电力有限公司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216,366,900.00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216,366,900.00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通化吉电智慧能源有限公司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61,184,040.00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61,184,040.00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广东吉电能源有限公司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45,430,000.00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45,430,000.00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湖南吉昇新能源有限公司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39,422,000.00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39,422,000.00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山东爱特电力工程有限公司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80,040,000.00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80,040,000.00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洮南吉能新能源有限公司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49,880,600.00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49,880,600.00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广西沃中投资有限公司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462,108,368.36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462,108,368.36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潍坊裕永农业发展有限公司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224,000,000.00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224,000,000.00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潍坊景世乾控股有限公司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203,000,000.00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203,000,000.00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天津天达科技有限公司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68,100,000.00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68,100,000.00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陕西吉电能源有限公司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1,960,419,901.20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1,960,419,901.20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吉林省吉电配售电有限公司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仁化县金裕新能源发电有限公司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72,260,000.00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72,260,000.00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海宁鸿运新能源有限公司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长春吉电氢能有限公司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山东吉电新能源有限公司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199,650,000.00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229,650,000.00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长春吉电能源科技有限公司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通榆吉电绿色能源发展有限公司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341,950,000.00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366,950,000.00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吉林省吉电希尔智慧能源有限公司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4,050,000.00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4,050,000.00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北京吉电智慧新能源有限公司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吉林市吉电能源有限公司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10,405,600.00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10,405,600.00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磐石吉电宏日智慧能源有限公司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吉林吉电新燃能源有限公司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30,500,000.00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42,500,000.00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吉林吉电新能源有限公司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2,155,264,228.30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2,155,264,228.30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江西中电投新能源发电有限公司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558,555,365.65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558,555,365.65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吉林热电检修安装工程有限公司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80,297,529.00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80,297,529.00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安徽吉电新能源有限公司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2,280,264,100.00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231,950,000.00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2,512,214,100.00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吉林松花江热电有限公司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1,617,010,077.36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1,617,010,077.36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吉林吉长电力有限公司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590,389,913.42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590,389,913.42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南昌市中阳新能源有限公司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31,350,000.00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31,350,000.00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大安吉电新能源有限公司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139,950,000.00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139,950,000.00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镇赉吉电新能源有限公司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291,875,600.00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291,875,600.00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吉电通化河口热电有限责任公司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12,200,000.00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12,200,000.00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松原市上元新能源有限公司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寿光吉电景华新能源有限公司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长春吉电热力有限公司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59,030,000.00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59,030,000.00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北京吉能新能源科技有限公司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415,635,965.51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415,635,965.51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15,114,739,458.20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1,079,250,600.00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49,880,600.00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16,144,109,458.20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keepNext/>
        <w:keepLines/>
        <w:spacing w:before="300" w:after="300" w:line="280" w:lineRule="exact"/>
        <w:jc w:val="left"/>
        <w:outlineLvl w:val="3"/>
        <w:rPr>
          <w:rFonts w:ascii="宋体" w:hAnsi="宋体" w:eastAsia="宋体" w:cs="宋体"/>
          <w:b/>
          <w:bCs/>
          <w:sz w:val="21"/>
          <w:szCs w:val="21"/>
        </w:rPr>
      </w:pPr>
      <w:bookmarkStart w:id="558" w:name="_Toc989447"/>
      <w:r>
        <w:rPr>
          <w:rFonts w:ascii="宋体" w:hAnsi="宋体" w:eastAsia="宋体" w:cs="宋体"/>
          <w:b/>
          <w:bCs/>
          <w:sz w:val="21"/>
          <w:szCs w:val="21"/>
        </w:rPr>
        <w:t>（2） 对联营、合营企业投资</w:t>
      </w:r>
      <w:bookmarkEnd w:id="55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1"/>
        <w:gridCol w:w="741"/>
        <w:gridCol w:w="741"/>
        <w:gridCol w:w="741"/>
        <w:gridCol w:w="741"/>
        <w:gridCol w:w="741"/>
        <w:gridCol w:w="741"/>
        <w:gridCol w:w="741"/>
        <w:gridCol w:w="741"/>
        <w:gridCol w:w="741"/>
        <w:gridCol w:w="741"/>
        <w:gridCol w:w="741"/>
        <w:gridCol w:w="7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投资单位</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期初余额（账面价值）</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减值准备期初余额</w:t>
            </w:r>
          </w:p>
        </w:tc>
        <w:tc>
          <w:tcPr>
            <w:tcW w:w="5928" w:type="dxa"/>
            <w:gridSpan w:val="8"/>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本期增减变动</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期末余额（账面价值）</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41" w:type="dxa"/>
            <w:vMerge w:val="continue"/>
            <w:tcBorders>
              <w:top w:val="single" w:color="auto" w:sz="2" w:space="0"/>
              <w:left w:val="single" w:color="auto" w:sz="2" w:space="0"/>
              <w:bottom w:val="single" w:color="auto" w:sz="2" w:space="0"/>
              <w:right w:val="single" w:color="auto" w:sz="2" w:space="0"/>
            </w:tcBorders>
            <w:vAlign w:val="center"/>
          </w:tcP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追加投资</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减少投资</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权益法下确认的投资损益</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其他综合收益调整</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其他权益变动</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宣告发放现金股利或利润</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计提减值准备</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3" w:type="dxa"/>
            <w:gridSpan w:val="1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一、合营企业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3" w:type="dxa"/>
            <w:gridSpan w:val="1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国家电投集团当雄能源有限公司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14,814,529.71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357,797.45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15,172,327.16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沈阳远达环保工程有限公司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14,262,708.39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426,430.62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14,689,139.01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吉电未来智维能源科技（吉林）有限公司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15,117,686.73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1,578,730.70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16,696,417.43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吉林省吉电能源服务有限公司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666,372.57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391,115.38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1,057,487.95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电投绿色氢能一期（海南）私募基金合伙企业（有限合伙）</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81,522,633.39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81,522,633.39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深圳市吉电盈晟新能源投资有限公司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37,029,609.68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-88,308.45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36,941,301.23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吉电憧憬（吉林）新能源发展有限公司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6,421,357.46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-23,184.99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6,398,172.47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安庆高新吉电能源有限公司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33,852,172.00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-457,197.22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33,394,974.78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广西国电投海外能源投资有限公司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635,795,521.88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62,463,000.87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698,258,522.75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吉度（苏州）智慧能源有限公司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61,227,903.14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125,862.31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61,353,765.45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氢动力（北京）科技服务有限公司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5,908,957.69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-2,089,482.52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3,819,475.17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中吉慧能（深圳）投资有限公司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1,821,521.96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1,197,286.43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3,018,808.39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长春绿动氢能科技有限公司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189,145,961.95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-7,841,476.41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181,304,485.54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电投浙储（长兴）智慧能源有限公司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38,927,713.10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-98,501.05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38,829,212.05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吉电能谷（白城）储能投资有限公司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40,082,094.54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10,732.85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40,092,827.39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吉电港华智慧能源（济南）有限公司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584,777.63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340.64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585,118.27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上海国和吉运数字科技有限公司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675,733.47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12,825,000.00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-157,400.47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13,343,333.00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小计</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1,177,857,255.29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12,825,000.00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55,795,746.14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1,246,478,001.43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1,177,857,255.29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12,825,000.00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55,795,746.14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1,246,478,001.43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可收回金额按公允价值减去处置费用后的净额确定</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可收回金额按预计未来现金流量的现值确定</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前述信息与以前年度减值测试采用的信息或外部信息明显不一致的差异原因</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公司以前年度减值测试采用信息与当年实际情况明显不一致的差异原因</w:t>
      </w:r>
    </w:p>
    <w:p>
      <w:pPr>
        <w:keepNext/>
        <w:keepLines/>
        <w:spacing w:before="300" w:after="300" w:line="280" w:lineRule="exact"/>
        <w:jc w:val="left"/>
        <w:outlineLvl w:val="3"/>
        <w:rPr>
          <w:rFonts w:ascii="宋体" w:hAnsi="宋体" w:eastAsia="宋体" w:cs="宋体"/>
          <w:b/>
          <w:bCs/>
          <w:sz w:val="21"/>
          <w:szCs w:val="21"/>
        </w:rPr>
      </w:pPr>
      <w:bookmarkStart w:id="559" w:name="_Toc989448"/>
      <w:r>
        <w:rPr>
          <w:rFonts w:ascii="宋体" w:hAnsi="宋体" w:eastAsia="宋体" w:cs="宋体"/>
          <w:b/>
          <w:bCs/>
          <w:sz w:val="21"/>
          <w:szCs w:val="21"/>
        </w:rPr>
        <w:t>（3） 其他说明</w:t>
      </w:r>
      <w:bookmarkEnd w:id="559"/>
    </w:p>
    <w:p>
      <w:pPr>
        <w:keepNext/>
        <w:keepLines/>
        <w:spacing w:before="300" w:after="300" w:line="280" w:lineRule="exact"/>
        <w:jc w:val="left"/>
        <w:outlineLvl w:val="2"/>
        <w:rPr>
          <w:rFonts w:ascii="宋体" w:hAnsi="宋体" w:eastAsia="宋体" w:cs="宋体"/>
          <w:b/>
          <w:bCs/>
          <w:sz w:val="21"/>
          <w:szCs w:val="21"/>
        </w:rPr>
      </w:pPr>
      <w:bookmarkStart w:id="560" w:name="_Toc989449"/>
      <w:r>
        <w:rPr>
          <w:rFonts w:ascii="宋体" w:hAnsi="宋体" w:eastAsia="宋体" w:cs="宋体"/>
          <w:b/>
          <w:bCs/>
          <w:sz w:val="21"/>
          <w:szCs w:val="21"/>
        </w:rPr>
        <w:t>4、营业收入和营业成本</w:t>
      </w:r>
      <w:bookmarkEnd w:id="56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成本</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成本</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主营业务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2,296,399,221.39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1,859,568,463.86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2,498,617,539.60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2,068,395,224.63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其他业务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8,266,155.94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4,856,549.23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151,560,927.80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141,253,169.00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2,304,665,377.33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1,864,425,013.09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2,650,178,467.40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2,209,648,393.63</w:t>
            </w:r>
          </w:p>
        </w:tc>
      </w:tr>
    </w:tbl>
    <w:p>
      <w:pPr>
        <w:spacing w:before="100" w:after="40" w:line="240" w:lineRule="exact"/>
        <w:jc w:val="left"/>
        <w:rPr>
          <w:rFonts w:ascii="宋体" w:hAnsi="宋体" w:eastAsia="宋体" w:cs="宋体"/>
          <w:sz w:val="18"/>
          <w:szCs w:val="18"/>
        </w:rPr>
      </w:pPr>
      <w:r>
        <w:rPr>
          <w:rFonts w:ascii="宋体" w:hAnsi="宋体" w:eastAsia="宋体" w:cs="宋体"/>
          <w:sz w:val="18"/>
          <w:szCs w:val="18"/>
        </w:rPr>
        <w:t>营业收入、营业成本的分解信息：</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合同分类</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分部1</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分部2</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营业成本</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营业成本</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营业成本</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营业成本</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业务类型</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2,304,665,377.33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1,864,425,013.09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2,304,665,377.33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1,864,425,013.09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　其中：</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煤电产品</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1,945,338,141.07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1,381,652,314.57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1,945,338,141.07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1,381,652,314.57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热力产品</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336,569,454.78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469,739,988.35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336,569,454.78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469,739,988.35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太阳能产品</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8,592,775.21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2,531,692.09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8,592,775.21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2,531,692.09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其他产品</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14,165,006.27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10,501,018.08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14,165,006.27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10,501,018.08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按经营地区分类</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2,304,665,377.33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1,864,425,013.09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2,304,665,377.33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1,864,425,013.09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　其中：</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东北地区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2,303,828,634.70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1,864,417,437.91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2,303,828,634.70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1,864,417,437.91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华东地区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836,742.63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7,575.18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836,742.63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7,575.18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市场或客户类型</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　其中：</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合同类型</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　其中：</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按商品转让的时间分类</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　其中：</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按合同期限分类</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　其中：</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按销售渠道分类</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　其中：</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2,304,665,377.33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1,864,425,013.09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2,304,665,377.33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1,864,425,013.09</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与履约义务相关的信息：</w:t>
      </w:r>
    </w:p>
    <w:p>
      <w:pPr>
        <w:spacing w:before="0" w:after="0" w:line="0" w:lineRule="exact"/>
        <w:jc w:val="left"/>
      </w:pP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履行履约义务的时间</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重要的支付条款</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公司承诺转让商品的性质</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是否为主要责任人</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公司承担的预期将退还给客户的款项</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公司提供的质量保证类型及相关义务</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与分摊至剩余履约义务的交易价格相关的信息：</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本报告期末已签订合同、但尚未履行或尚未履行完毕的履约义务所对应的收入金额为0.00元，其中，元预计将于年度确认收入，元预计将于年度确认收入，元预计将于年度确认收入。</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重大合同变更或重大交易价格调整</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会计处理方法</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对收入的影响金额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561" w:name="_Toc989450"/>
      <w:r>
        <w:rPr>
          <w:rFonts w:ascii="宋体" w:hAnsi="宋体" w:eastAsia="宋体" w:cs="宋体"/>
          <w:b/>
          <w:bCs/>
          <w:sz w:val="21"/>
          <w:szCs w:val="21"/>
        </w:rPr>
        <w:t>5、投资收益</w:t>
      </w:r>
      <w:bookmarkEnd w:id="56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成本法核算的长期股权投资收益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617,592,699.07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1,039,624,435.27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权益法核算的长期股权投资收益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55,795,746.14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50,277,251.87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债权投资在持有期间取得的利息收入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102,863,063.39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155,171,183.86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776,251,508.60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1,245,072,871.00</w:t>
            </w:r>
          </w:p>
        </w:tc>
      </w:tr>
    </w:tbl>
    <w:p>
      <w:pPr>
        <w:keepNext/>
        <w:keepLines/>
        <w:spacing w:before="300" w:after="300" w:line="280" w:lineRule="exact"/>
        <w:jc w:val="left"/>
        <w:outlineLvl w:val="2"/>
        <w:rPr>
          <w:rFonts w:ascii="宋体" w:hAnsi="宋体" w:eastAsia="宋体" w:cs="宋体"/>
          <w:b/>
          <w:bCs/>
          <w:sz w:val="21"/>
          <w:szCs w:val="21"/>
        </w:rPr>
      </w:pPr>
      <w:bookmarkStart w:id="562" w:name="_Toc989451"/>
      <w:r>
        <w:rPr>
          <w:rFonts w:ascii="宋体" w:hAnsi="宋体" w:eastAsia="宋体" w:cs="宋体"/>
          <w:b/>
          <w:bCs/>
          <w:sz w:val="21"/>
          <w:szCs w:val="21"/>
        </w:rPr>
        <w:t>6、其他</w:t>
      </w:r>
      <w:bookmarkEnd w:id="562"/>
    </w:p>
    <w:p>
      <w:pPr>
        <w:keepNext/>
        <w:keepLines/>
        <w:spacing w:before="300" w:after="300" w:line="320" w:lineRule="exact"/>
        <w:jc w:val="left"/>
        <w:outlineLvl w:val="1"/>
        <w:rPr>
          <w:rFonts w:ascii="宋体" w:hAnsi="宋体" w:eastAsia="宋体" w:cs="宋体"/>
          <w:b/>
          <w:bCs/>
          <w:sz w:val="24"/>
          <w:szCs w:val="24"/>
        </w:rPr>
      </w:pPr>
      <w:bookmarkStart w:id="563" w:name="_Toc989452"/>
      <w:r>
        <w:rPr>
          <w:rFonts w:ascii="宋体" w:hAnsi="宋体" w:eastAsia="宋体" w:cs="宋体"/>
          <w:b/>
          <w:bCs/>
          <w:sz w:val="24"/>
          <w:szCs w:val="24"/>
        </w:rPr>
        <w:t>二十、补充资料</w:t>
      </w:r>
      <w:bookmarkEnd w:id="563"/>
    </w:p>
    <w:p>
      <w:pPr>
        <w:keepNext/>
        <w:keepLines/>
        <w:spacing w:before="300" w:after="300" w:line="280" w:lineRule="exact"/>
        <w:jc w:val="left"/>
        <w:outlineLvl w:val="2"/>
        <w:rPr>
          <w:rFonts w:ascii="宋体" w:hAnsi="宋体" w:eastAsia="宋体" w:cs="宋体"/>
          <w:b/>
          <w:bCs/>
          <w:sz w:val="21"/>
          <w:szCs w:val="21"/>
        </w:rPr>
      </w:pPr>
      <w:bookmarkStart w:id="564" w:name="_Toc989453"/>
      <w:r>
        <w:rPr>
          <w:rFonts w:ascii="宋体" w:hAnsi="宋体" w:eastAsia="宋体" w:cs="宋体"/>
          <w:b/>
          <w:bCs/>
          <w:sz w:val="21"/>
          <w:szCs w:val="21"/>
        </w:rPr>
        <w:t>1、当期非经常性损益明细表</w:t>
      </w:r>
      <w:bookmarkEnd w:id="564"/>
    </w:p>
    <w:p>
      <w:pPr>
        <w:spacing w:before="0" w:after="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6"/>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非流动性资产处置损益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1,328,547.14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主要系报告期本公司处置资产影响。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计入当期损益的政府补助（与公司正常经营业务密切相关、符合国家政策规定、按照确定的标准享有、对公司损益产生持续影响的政府补助除外）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3,912,425.15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主要系报告期本公司收到政府补贴、补助影响。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除上述各项之外的其他营业外收入和支出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74,918,716.30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主要系报告期个别风电项目赔偿款影响。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减：所得税影响额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12,644,256.53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少数股东权益影响额（税后）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4,786,314.42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62,729,117.64</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其他符合非经常性损益定义的损益项目的具体情况：</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公司不存在其他符合非经常性损益定义的损益项目的具体情况。</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将《公开发行证券的公司信息披露解释性公告第1号——非经常性损益》中列举的非经常性损益项目界定为经常性损益项目的情况说明</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565" w:name="_Toc989454"/>
      <w:r>
        <w:rPr>
          <w:rFonts w:ascii="宋体" w:hAnsi="宋体" w:eastAsia="宋体" w:cs="宋体"/>
          <w:b/>
          <w:bCs/>
          <w:sz w:val="21"/>
          <w:szCs w:val="21"/>
        </w:rPr>
        <w:t>2、净资产收益率及每股收益</w:t>
      </w:r>
      <w:bookmarkEnd w:id="565"/>
    </w:p>
    <w:tbl>
      <w:tblPr>
        <w:tblStyle w:val="6"/>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报告期利润</w:t>
            </w:r>
          </w:p>
        </w:tc>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加权平均净资产收益率</w:t>
            </w:r>
          </w:p>
        </w:tc>
        <w:tc>
          <w:tcPr>
            <w:tcW w:w="4820"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每股收益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基本每股收益（元/股）</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稀释每股收益（元/股）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归属于公司普通股股东的净利润</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扣除非经常性损益后归属于公司普通股股东的净利润</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0.37</w:t>
            </w:r>
          </w:p>
        </w:tc>
      </w:tr>
    </w:tbl>
    <w:p>
      <w:pPr>
        <w:keepNext/>
        <w:keepLines/>
        <w:spacing w:before="300" w:after="300" w:line="280" w:lineRule="exact"/>
        <w:jc w:val="left"/>
        <w:outlineLvl w:val="2"/>
        <w:rPr>
          <w:rFonts w:ascii="宋体" w:hAnsi="宋体" w:eastAsia="宋体" w:cs="宋体"/>
          <w:b/>
          <w:bCs/>
          <w:sz w:val="21"/>
          <w:szCs w:val="21"/>
        </w:rPr>
      </w:pPr>
      <w:bookmarkStart w:id="566" w:name="_Toc989455"/>
      <w:r>
        <w:rPr>
          <w:rFonts w:ascii="宋体" w:hAnsi="宋体" w:eastAsia="宋体" w:cs="宋体"/>
          <w:b/>
          <w:bCs/>
          <w:sz w:val="21"/>
          <w:szCs w:val="21"/>
        </w:rPr>
        <w:t>3、境内外会计准则下会计数据差异</w:t>
      </w:r>
      <w:bookmarkEnd w:id="566"/>
    </w:p>
    <w:p>
      <w:pPr>
        <w:keepNext/>
        <w:keepLines/>
        <w:spacing w:before="300" w:after="300" w:line="280" w:lineRule="exact"/>
        <w:jc w:val="left"/>
        <w:outlineLvl w:val="3"/>
        <w:rPr>
          <w:rFonts w:ascii="宋体" w:hAnsi="宋体" w:eastAsia="宋体" w:cs="宋体"/>
          <w:b/>
          <w:bCs/>
          <w:sz w:val="21"/>
          <w:szCs w:val="21"/>
        </w:rPr>
      </w:pPr>
      <w:bookmarkStart w:id="567" w:name="_Toc989456"/>
      <w:r>
        <w:rPr>
          <w:rFonts w:ascii="宋体" w:hAnsi="宋体" w:eastAsia="宋体" w:cs="宋体"/>
          <w:b/>
          <w:bCs/>
          <w:sz w:val="21"/>
          <w:szCs w:val="21"/>
        </w:rPr>
        <w:t>（1） 同时按照国际会计准则与按中国会计准则披露的财务报告中净利润和净资产差异情况</w:t>
      </w:r>
      <w:bookmarkEnd w:id="567"/>
    </w:p>
    <w:p>
      <w:pPr>
        <w:spacing w:before="0" w:after="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21"/>
          <w:szCs w:val="21"/>
        </w:rPr>
      </w:pPr>
      <w:bookmarkStart w:id="568" w:name="_Toc989457"/>
      <w:r>
        <w:rPr>
          <w:rFonts w:ascii="宋体" w:hAnsi="宋体" w:eastAsia="宋体" w:cs="宋体"/>
          <w:b/>
          <w:bCs/>
          <w:sz w:val="21"/>
          <w:szCs w:val="21"/>
        </w:rPr>
        <w:t>（2） 同时按照境外会计准则与按中国会计准则披露的财务报告中净利润和净资产差异情况</w:t>
      </w:r>
      <w:bookmarkEnd w:id="568"/>
    </w:p>
    <w:p>
      <w:pPr>
        <w:spacing w:before="0" w:after="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21"/>
          <w:szCs w:val="21"/>
        </w:rPr>
      </w:pPr>
      <w:bookmarkStart w:id="569" w:name="_Toc989458"/>
      <w:r>
        <w:rPr>
          <w:rFonts w:ascii="宋体" w:hAnsi="宋体" w:eastAsia="宋体" w:cs="宋体"/>
          <w:b/>
          <w:bCs/>
          <w:sz w:val="21"/>
          <w:szCs w:val="21"/>
        </w:rPr>
        <w:t>（3） 境内外会计准则下会计数据差异原因说明，对已经境外审计机构审计的数据进行差异调节的，应注明该境外机构的名称</w:t>
      </w:r>
      <w:bookmarkEnd w:id="569"/>
    </w:p>
    <w:p>
      <w:pPr>
        <w:keepNext/>
        <w:keepLines/>
        <w:spacing w:before="300" w:after="300" w:line="280" w:lineRule="exact"/>
        <w:jc w:val="left"/>
        <w:outlineLvl w:val="2"/>
        <w:rPr>
          <w:rFonts w:ascii="宋体" w:hAnsi="宋体" w:eastAsia="宋体" w:cs="宋体"/>
          <w:b/>
          <w:bCs/>
          <w:sz w:val="21"/>
          <w:szCs w:val="21"/>
        </w:rPr>
      </w:pPr>
      <w:bookmarkStart w:id="570" w:name="_Toc989459"/>
      <w:r>
        <w:rPr>
          <w:rFonts w:ascii="宋体" w:hAnsi="宋体" w:eastAsia="宋体" w:cs="宋体"/>
          <w:b/>
          <w:bCs/>
          <w:sz w:val="21"/>
          <w:szCs w:val="21"/>
        </w:rPr>
        <w:t>4、其他</w:t>
      </w:r>
      <w:bookmarkEnd w:id="570"/>
    </w:p>
    <w:sectPr>
      <w:headerReference r:id="rId3" w:type="default"/>
      <w:footerReference r:id="rId4" w:type="default"/>
      <w:pgSz w:w="11905" w:h="16840"/>
      <w:pgMar w:top="1440" w:right="1134" w:bottom="1440" w:left="1134" w:header="850"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Fonts w:ascii="宋体" w:eastAsia="宋体"/>
        <w:sz w:val="18"/>
        <w:szCs w:val="18"/>
      </w:rPr>
      <w:fldChar w:fldCharType="begin"/>
    </w:r>
    <w:r>
      <w:rPr>
        <w:rFonts w:ascii="宋体" w:eastAsia="宋体"/>
        <w:sz w:val="18"/>
        <w:szCs w:val="18"/>
      </w:rPr>
      <w:instrText xml:space="preserve">PAGE   \* MERGEFORMAT</w:instrText>
    </w:r>
    <w:r>
      <w:rPr>
        <w:rFonts w:ascii="宋体" w:eastAsia="宋体"/>
        <w:sz w:val="18"/>
        <w:szCs w:val="18"/>
      </w:rPr>
      <w:fldChar w:fldCharType="separate"/>
    </w:r>
    <w:r>
      <w:rPr>
        <w:rFonts w:ascii="宋体" w:eastAsia="宋体"/>
        <w:sz w:val="18"/>
        <w:szCs w:val="18"/>
      </w:rPr>
      <w:t>1</w:t>
    </w:r>
    <w:r>
      <w:rPr>
        <w:rFonts w:ascii="宋体" w:eastAsia="宋体"/>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right"/>
    </w:pPr>
    <w:r>
      <w:rPr>
        <w:rFonts w:ascii="宋体" w:eastAsia="宋体"/>
        <w:sz w:val="18"/>
        <w:szCs w:val="18"/>
      </w:rPr>
      <w:t>吉林电力股份有限公司2024年半年度报告全文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cumentProtection w:enforcement="0"/>
  <w:compat>
    <w:doNotExpandShiftReturn/>
    <w:useFELayout/>
    <w:compatSetting w:name="compatibilityMode" w:uri="http://schemas.microsoft.com/office/word" w:val="14"/>
  </w:compat>
  <w:rsids>
    <w:rsidRoot w:val="00000000"/>
    <w:rsid w:val="031B3287"/>
    <w:rsid w:val="05FF145B"/>
    <w:rsid w:val="067F6760"/>
    <w:rsid w:val="1BF12B96"/>
    <w:rsid w:val="1CA12B66"/>
    <w:rsid w:val="1FB03C31"/>
    <w:rsid w:val="24D933F2"/>
    <w:rsid w:val="2B5F1956"/>
    <w:rsid w:val="2D570CC2"/>
    <w:rsid w:val="32FC1A44"/>
    <w:rsid w:val="32FD052C"/>
    <w:rsid w:val="33673987"/>
    <w:rsid w:val="3F577ECD"/>
    <w:rsid w:val="3FC64C1D"/>
    <w:rsid w:val="48386860"/>
    <w:rsid w:val="48715ED4"/>
    <w:rsid w:val="4E1F5F08"/>
    <w:rsid w:val="4F5270DB"/>
    <w:rsid w:val="53C829AA"/>
    <w:rsid w:val="5C4E49BC"/>
    <w:rsid w:val="5F7A77FF"/>
    <w:rsid w:val="6AE44634"/>
    <w:rsid w:val="70D8514F"/>
    <w:rsid w:val="73E409EA"/>
    <w:rsid w:val="7850571A"/>
    <w:rsid w:val="7F552E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46</TotalTime>
  <ScaleCrop>false</ScaleCrop>
  <LinksUpToDate>false</LinksUpToDate>
  <Application>WPS Office_11.8.2.8696_F1E327BC-269C-435d-A152-05C5408002CA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2024-07-30T01:46:00Z</dcterms:created>
  <dc:creator>huawei</dc:creator>
  <cp:lastModifiedBy>zhanghong</cp:lastModifiedBy>
  <dcterms:modified xsi:type="dcterms:W3CDTF">2024-07-30T08:59:28Z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