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F98B1">
      <w:pPr>
        <w:rPr>
          <w:rFonts w:hint="default" w:eastAsia="宋体"/>
          <w:lang w:val="en-US" w:eastAsia="zh-CN"/>
        </w:rPr>
      </w:pPr>
      <w:r>
        <w:t xml:space="preserve">证券代码：000875   </w:t>
      </w:r>
      <w:r>
        <w:rPr>
          <w:rFonts w:hint="eastAsia"/>
        </w:rPr>
        <w:t xml:space="preserve">         </w:t>
      </w:r>
      <w:r>
        <w:t>证券简称：吉电股份</w:t>
      </w:r>
      <w:r>
        <w:rPr>
          <w:rFonts w:hint="eastAsia"/>
        </w:rPr>
        <w:t xml:space="preserve">               </w:t>
      </w:r>
      <w:r>
        <w:t>公告编号：</w:t>
      </w:r>
      <w:r>
        <w:rPr>
          <w:rFonts w:hint="default" w:ascii="Times New Roman" w:hAnsi="Times New Roman" w:cs="Times New Roman"/>
        </w:rPr>
        <w:t>202</w:t>
      </w:r>
      <w:r>
        <w:rPr>
          <w:rFonts w:hint="eastAsia" w:ascii="Times New Roman" w:hAnsi="Times New Roman" w:cs="Times New Roman"/>
          <w:lang w:val="en-US" w:eastAsia="zh-CN"/>
        </w:rPr>
        <w:t>4</w:t>
      </w:r>
      <w:r>
        <w:rPr>
          <w:rFonts w:hint="default" w:ascii="Times New Roman" w:hAnsi="Times New Roman" w:cs="Times New Roman"/>
        </w:rPr>
        <w:t>-0</w:t>
      </w:r>
      <w:r>
        <w:rPr>
          <w:rFonts w:hint="eastAsia" w:ascii="Times New Roman" w:hAnsi="Times New Roman" w:cs="Times New Roman"/>
          <w:lang w:val="en-US" w:eastAsia="zh-CN"/>
        </w:rPr>
        <w:t>58</w:t>
      </w:r>
    </w:p>
    <w:p w14:paraId="42BA7810">
      <w:pPr>
        <w:rPr>
          <w:rFonts w:hint="eastAsia" w:ascii="仿宋" w:hAnsi="仿宋" w:eastAsia="仿宋" w:cs="仿宋"/>
          <w:b/>
          <w:bCs/>
          <w:color w:val="000000"/>
          <w:kern w:val="0"/>
          <w:sz w:val="28"/>
          <w:szCs w:val="28"/>
          <w:lang w:val="en-US" w:eastAsia="zh-CN" w:bidi="ar"/>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61595</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55pt;margin-top:4.85pt;height:1.8pt;width:426.6pt;z-index:251659264;mso-width-relative:page;mso-height-relative:page;" filled="f" stroked="t" coordsize="21600,21600" o:gfxdata="UEsDBAoAAAAAAIdO4kAAAAAAAAAAAAAAAAAEAAAAZHJzL1BLAwQUAAAACACHTuJAmxQAVtYAAAAI&#10;AQAADwAAAGRycy9kb3ducmV2LnhtbE2PMU/DMBCFd6T+B+uQ2FrHidSWEKdDJQYWBKESqxu7SVT7&#10;bMVOmv57jgnGp/fp3XfVYXGWzWaMg0cJYpMBM9h6PWAn4fT1ut4Di0mhVtajkXA3EQ716qFSpfY3&#10;/DRzkzpGIxhLJaFPKZScx7Y3TsWNDwapu/jRqURx7Lge1Y3GneV5lm25UwPShV4Fc+xNe20mJ6FZ&#10;shC4fb+6SXzn4W2+5x+XRsqnR5G9AEtmSX8w/OqTOtTkdPYT6sishLXYCUIlPO+AUb8vtpTPBBYF&#10;8Lri/x+ofwBQSwMEFAAAAAgAh07iQFNFbSf4AQAA8AMAAA4AAABkcnMvZTJvRG9jLnhtbK1TS44T&#10;MRDdI3EHy3vS6RaTiVrpzGJC2CCIxAz7ij9pC/9kO+nkLFyDFRuOM9eg7M4EGDZZsLHKVeVX9V6V&#10;F3dHo8lBhKic7Wg9mVIiLHNc2V1HHx/Wb+aUxASWg3ZWdPQkIr1bvn61GHwrGtc7zUUgCGJjO/iO&#10;9in5tqoi64WBOHFeWAxKFwwkvIZdxQMMiG501Uyns2pwgfvgmIgRvasxSM+I4RpAJ6ViYuXY3gib&#10;RtQgNCSkFHvlI12WbqUULH2SMopEdEeRaSonFkF7m89quYB2F8D3ip1bgGtaeMHJgLJY9AK1ggRk&#10;H9Q/UEax4KKTacKcqUYiRRFkUU9faPO5By8KF5Q6+ovo8f/Bso+HTSCK4yZQYsHgwJ++fX/68ZM0&#10;WZvBxxZT7u0mnG/Rb0ImepTBEKmV/5KfZg+SIcei7OmirDgmwtB587a+nTcoOsNY08xnRflqhMmP&#10;fYjpvXCGZKOjWtlMHFo4fIgJS2Pqc0p2a0sGRL2tbzIm4BpKHD+axiOV1Cv7gAP9WiCi04qvldb5&#10;YQy77b0O5AC4EOv1bDZ97uSvtFxrBbEf80poXJVeAH9nOUknj1JZ/CE0d2IEp0QL/FDZKkuVQOlr&#10;MpGZtkgwSz2Km62t4ycczN4HtetRkDqDlhxchCLHeWnzpv15L1m/P+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UAFbWAAAACAEAAA8AAAAAAAAAAQAgAAAAIgAAAGRycy9kb3ducmV2LnhtbFBL&#10;AQIUABQAAAAIAIdO4kBTRW0n+AEAAPADAAAOAAAAAAAAAAEAIAAAACUBAABkcnMvZTJvRG9jLnht&#10;bFBLBQYAAAAABgAGAFkBAACPBQAAAAA=&#10;">
                <v:fill on="f" focussize="0,0"/>
                <v:stroke weight="4.5pt" color="#FF6600" linestyle="thinThick" joinstyle="round"/>
                <v:imagedata o:title=""/>
                <o:lock v:ext="edit" aspectratio="f"/>
              </v:line>
            </w:pict>
          </mc:Fallback>
        </mc:AlternateContent>
      </w:r>
    </w:p>
    <w:p w14:paraId="39C1A1DB">
      <w:pPr>
        <w:jc w:val="center"/>
        <w:rPr>
          <w:rFonts w:hint="eastAsia" w:ascii="Times New Roman" w:hAnsi="Times New Roman" w:cs="Times New Roman"/>
          <w:b/>
          <w:sz w:val="44"/>
          <w:szCs w:val="44"/>
          <w:lang w:val="en-US" w:eastAsia="zh-CN"/>
        </w:rPr>
      </w:pPr>
      <w:r>
        <w:rPr>
          <w:rFonts w:hint="eastAsia" w:ascii="Times New Roman" w:hAnsi="Times New Roman" w:cs="Times New Roman"/>
          <w:b/>
          <w:sz w:val="44"/>
          <w:szCs w:val="44"/>
          <w:lang w:val="en-US" w:eastAsia="zh-CN"/>
        </w:rPr>
        <w:t>吉林电力股份有限公司</w:t>
      </w:r>
    </w:p>
    <w:p w14:paraId="6C46052A">
      <w:pPr>
        <w:jc w:val="center"/>
        <w:rPr>
          <w:rFonts w:hint="eastAsia" w:ascii="Times New Roman" w:hAnsi="Times New Roman" w:cs="Times New Roman"/>
          <w:b/>
          <w:sz w:val="44"/>
          <w:szCs w:val="44"/>
          <w:lang w:val="en-US" w:eastAsia="zh-CN"/>
        </w:rPr>
      </w:pPr>
      <w:r>
        <w:rPr>
          <w:rFonts w:hint="eastAsia" w:ascii="Times New Roman" w:hAnsi="Times New Roman" w:cs="Times New Roman"/>
          <w:b/>
          <w:sz w:val="44"/>
          <w:szCs w:val="44"/>
          <w:lang w:val="en-US" w:eastAsia="zh-CN"/>
        </w:rPr>
        <w:t>关于2024年半年度利润分配预案的公告</w:t>
      </w:r>
    </w:p>
    <w:p w14:paraId="192E2B0C">
      <w:pPr>
        <w:pStyle w:val="2"/>
        <w:rPr>
          <w:rFonts w:hint="eastAsia"/>
        </w:rPr>
      </w:pPr>
    </w:p>
    <w:p w14:paraId="7EC7E7D9">
      <w:pPr>
        <w:ind w:firstLine="562" w:firstLineChars="200"/>
        <w:rPr>
          <w:rFonts w:eastAsia="仿宋"/>
          <w:b/>
          <w:sz w:val="28"/>
          <w:szCs w:val="28"/>
        </w:rPr>
      </w:pPr>
      <w:r>
        <w:rPr>
          <w:rFonts w:hAnsi="仿宋" w:eastAsia="仿宋"/>
          <w:b/>
          <w:sz w:val="28"/>
          <w:szCs w:val="28"/>
        </w:rPr>
        <w:t>本公司及董事会全体成员保证</w:t>
      </w:r>
      <w:r>
        <w:rPr>
          <w:rFonts w:hint="eastAsia" w:hAnsi="仿宋" w:eastAsia="仿宋"/>
          <w:b/>
          <w:sz w:val="28"/>
          <w:szCs w:val="28"/>
        </w:rPr>
        <w:t>信息披露</w:t>
      </w:r>
      <w:r>
        <w:rPr>
          <w:rFonts w:hAnsi="仿宋" w:eastAsia="仿宋"/>
          <w:b/>
          <w:sz w:val="28"/>
          <w:szCs w:val="28"/>
        </w:rPr>
        <w:t>内容的真实、准确</w:t>
      </w:r>
      <w:r>
        <w:rPr>
          <w:rFonts w:hint="eastAsia" w:hAnsi="仿宋" w:eastAsia="仿宋"/>
          <w:b/>
          <w:sz w:val="28"/>
          <w:szCs w:val="28"/>
        </w:rPr>
        <w:t>和</w:t>
      </w:r>
      <w:r>
        <w:rPr>
          <w:rFonts w:hAnsi="仿宋" w:eastAsia="仿宋"/>
          <w:b/>
          <w:sz w:val="28"/>
          <w:szCs w:val="28"/>
        </w:rPr>
        <w:t>完整，没有虚假记载、误导性陈述或重大遗漏。</w:t>
      </w:r>
    </w:p>
    <w:p w14:paraId="73211D9F">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p>
    <w:p w14:paraId="47BFBF00">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吉林电力股份有限公司（以下简称“公司”）于2024年7月29日召开了第九届董事会第二十一次会议和第九届监事会第十三次会议，审议通过了《公司 2024 年半年度利润分配预案》。现将相关情况公告如下： </w:t>
      </w:r>
    </w:p>
    <w:p w14:paraId="5C84497D">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一、利润分配预案的基本情况 </w:t>
      </w:r>
    </w:p>
    <w:p w14:paraId="12E94FC9">
      <w:pPr>
        <w:keepNext w:val="0"/>
        <w:keepLines w:val="0"/>
        <w:widowControl/>
        <w:suppressLineNumbers w:val="0"/>
        <w:ind w:firstLine="560" w:firstLineChars="200"/>
        <w:jc w:val="both"/>
        <w:rPr>
          <w:rFonts w:hint="eastAsia" w:ascii="仿宋" w:hAnsi="仿宋" w:eastAsia="仿宋" w:cs="仿宋"/>
          <w:sz w:val="28"/>
          <w:szCs w:val="28"/>
        </w:rPr>
      </w:pPr>
      <w:r>
        <w:rPr>
          <w:rFonts w:hint="eastAsia" w:ascii="仿宋" w:hAnsi="仿宋" w:eastAsia="仿宋" w:cs="仿宋"/>
          <w:kern w:val="2"/>
          <w:sz w:val="28"/>
          <w:szCs w:val="28"/>
          <w:shd w:val="clear" w:color="auto" w:fill="auto"/>
          <w:lang w:val="en-US" w:eastAsia="zh-CN" w:bidi="ar-SA"/>
        </w:rPr>
        <w:t>根据公司202</w:t>
      </w:r>
      <w:r>
        <w:rPr>
          <w:rFonts w:hint="eastAsia" w:ascii="仿宋" w:hAnsi="仿宋" w:eastAsia="仿宋" w:cs="仿宋"/>
          <w:sz w:val="28"/>
          <w:szCs w:val="28"/>
          <w:lang w:val="en-US" w:eastAsia="zh-CN"/>
        </w:rPr>
        <w:t>4年半年度财务报告（未经审计），公司2024年1-6月合并报表中归属于母公司所有者的净利润为</w:t>
      </w:r>
      <w:r>
        <w:rPr>
          <w:rFonts w:hint="eastAsia" w:ascii="仿宋" w:hAnsi="仿宋" w:eastAsia="仿宋" w:cs="仿宋"/>
          <w:sz w:val="28"/>
          <w:szCs w:val="28"/>
        </w:rPr>
        <w:t>1,094,564,982.49</w:t>
      </w:r>
      <w:r>
        <w:rPr>
          <w:rFonts w:hint="eastAsia" w:ascii="仿宋" w:hAnsi="仿宋" w:eastAsia="仿宋" w:cs="仿宋"/>
          <w:sz w:val="28"/>
          <w:szCs w:val="28"/>
          <w:lang w:val="en-US" w:eastAsia="zh-CN"/>
        </w:rPr>
        <w:t>元，合并口径净利润</w:t>
      </w:r>
      <w:r>
        <w:rPr>
          <w:rFonts w:hint="eastAsia" w:ascii="仿宋" w:hAnsi="仿宋" w:eastAsia="仿宋" w:cs="仿宋"/>
          <w:sz w:val="28"/>
          <w:szCs w:val="28"/>
        </w:rPr>
        <w:t>1,438,087,042.61</w:t>
      </w:r>
      <w:r>
        <w:rPr>
          <w:rFonts w:hint="eastAsia" w:ascii="仿宋" w:hAnsi="仿宋" w:eastAsia="仿宋" w:cs="仿宋"/>
          <w:sz w:val="28"/>
          <w:szCs w:val="28"/>
          <w:lang w:val="en-US" w:eastAsia="zh-CN"/>
        </w:rPr>
        <w:t>元，母公司实现净利润</w:t>
      </w:r>
      <w:r>
        <w:rPr>
          <w:rFonts w:hint="eastAsia" w:ascii="仿宋" w:hAnsi="仿宋" w:eastAsia="仿宋" w:cs="仿宋"/>
          <w:sz w:val="28"/>
          <w:szCs w:val="28"/>
        </w:rPr>
        <w:t>828,376,096.05</w:t>
      </w:r>
      <w:r>
        <w:rPr>
          <w:rFonts w:hint="eastAsia" w:ascii="仿宋" w:hAnsi="仿宋" w:eastAsia="仿宋" w:cs="仿宋"/>
          <w:sz w:val="28"/>
          <w:szCs w:val="28"/>
          <w:lang w:val="en-US" w:eastAsia="zh-CN"/>
        </w:rPr>
        <w:t>元。截至2024年6月30日，公司合并报表可供分配利润为</w:t>
      </w:r>
      <w:r>
        <w:rPr>
          <w:rFonts w:hint="eastAsia" w:ascii="仿宋" w:hAnsi="仿宋" w:eastAsia="仿宋" w:cs="仿宋"/>
          <w:sz w:val="28"/>
          <w:szCs w:val="28"/>
        </w:rPr>
        <w:t>2,930,706,570.06</w:t>
      </w:r>
      <w:r>
        <w:rPr>
          <w:rFonts w:hint="eastAsia" w:ascii="仿宋" w:hAnsi="仿宋" w:eastAsia="仿宋" w:cs="仿宋"/>
          <w:sz w:val="28"/>
          <w:szCs w:val="28"/>
          <w:lang w:val="en-US" w:eastAsia="zh-CN"/>
        </w:rPr>
        <w:t>元，母公司报表可供分配利润为</w:t>
      </w:r>
      <w:r>
        <w:rPr>
          <w:rFonts w:hint="eastAsia" w:ascii="仿宋" w:hAnsi="仿宋" w:eastAsia="仿宋" w:cs="仿宋"/>
          <w:sz w:val="28"/>
          <w:szCs w:val="28"/>
        </w:rPr>
        <w:t>884,234,570.61</w:t>
      </w:r>
      <w:r>
        <w:rPr>
          <w:rFonts w:hint="eastAsia" w:ascii="仿宋" w:hAnsi="仿宋" w:eastAsia="仿宋" w:cs="仿宋"/>
          <w:sz w:val="28"/>
          <w:szCs w:val="28"/>
          <w:lang w:val="en-US" w:eastAsia="zh-CN"/>
        </w:rPr>
        <w:t>元。</w:t>
      </w:r>
    </w:p>
    <w:p w14:paraId="40B71E7E">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鉴于公司经营状况良好、发展前景稳定，综合考虑2024年上半年的盈利水平和整体财务状况以及广大投资者的合理诉求，为持续回报股东、与所有股东共享公司的经营成果，公司2024年半年度利润分配预案为：以公司现有总股本2,790,208,174股为基数，向全体股东每10股派发现金股利1.17元（含税），不送红股，不以资本公积金转增股本，公司本次现金分红总额为人民币</w:t>
      </w:r>
      <w:r>
        <w:rPr>
          <w:rFonts w:hint="eastAsia" w:ascii="仿宋" w:hAnsi="仿宋" w:eastAsia="仿宋" w:cs="仿宋"/>
          <w:kern w:val="2"/>
          <w:sz w:val="28"/>
          <w:szCs w:val="28"/>
          <w:shd w:val="clear" w:color="auto" w:fill="auto"/>
          <w:lang w:val="en-US" w:eastAsia="zh-CN" w:bidi="ar-SA"/>
        </w:rPr>
        <w:t>326,454,356.36</w:t>
      </w:r>
      <w:r>
        <w:rPr>
          <w:rFonts w:hint="eastAsia" w:ascii="仿宋" w:hAnsi="仿宋" w:eastAsia="仿宋" w:cs="仿宋"/>
          <w:color w:val="000000"/>
          <w:kern w:val="0"/>
          <w:sz w:val="28"/>
          <w:szCs w:val="28"/>
          <w:lang w:val="en-US" w:eastAsia="zh-CN" w:bidi="ar"/>
        </w:rPr>
        <w:t>元（含税）。分配方案披露至实施期间，由于可转债转股、股份回购、股权激励行权等原因导致</w:t>
      </w:r>
      <w:r>
        <w:rPr>
          <w:rFonts w:hint="eastAsia" w:ascii="仿宋" w:hAnsi="仿宋" w:eastAsia="仿宋" w:cs="仿宋"/>
          <w:kern w:val="2"/>
          <w:sz w:val="28"/>
          <w:szCs w:val="28"/>
          <w:shd w:val="clear" w:color="auto" w:fill="auto"/>
          <w:lang w:val="en-US" w:eastAsia="zh-CN" w:bidi="ar-SA"/>
        </w:rPr>
        <w:t>总股本发生变化，将按</w:t>
      </w:r>
      <w:r>
        <w:rPr>
          <w:rFonts w:hint="default" w:ascii="仿宋" w:hAnsi="仿宋" w:eastAsia="仿宋" w:cs="仿宋"/>
          <w:kern w:val="2"/>
          <w:sz w:val="28"/>
          <w:szCs w:val="28"/>
          <w:shd w:val="clear" w:color="auto" w:fill="auto"/>
          <w:lang w:val="en-US" w:eastAsia="zh-CN" w:bidi="ar-SA"/>
        </w:rPr>
        <w:t>照分派总额不变的原则相应调整分配比例。</w:t>
      </w:r>
    </w:p>
    <w:p w14:paraId="2FFF08C0">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公司本次利润分配金额占当期合并报表归属于上市公司股东净利润的</w:t>
      </w:r>
      <w:r>
        <w:rPr>
          <w:rFonts w:hint="eastAsia" w:ascii="仿宋" w:hAnsi="仿宋" w:eastAsia="仿宋" w:cs="仿宋"/>
          <w:kern w:val="2"/>
          <w:sz w:val="28"/>
          <w:szCs w:val="28"/>
          <w:shd w:val="clear" w:color="auto" w:fill="auto"/>
          <w:lang w:val="en-US" w:eastAsia="zh-CN" w:bidi="ar-SA"/>
        </w:rPr>
        <w:t>29.83</w:t>
      </w:r>
      <w:r>
        <w:rPr>
          <w:rFonts w:hint="eastAsia" w:ascii="仿宋" w:hAnsi="仿宋" w:eastAsia="仿宋" w:cs="仿宋"/>
          <w:color w:val="000000"/>
          <w:kern w:val="0"/>
          <w:sz w:val="28"/>
          <w:szCs w:val="28"/>
          <w:lang w:val="en-US" w:eastAsia="zh-CN" w:bidi="ar"/>
        </w:rPr>
        <w:t>%，占当期期末可供分</w:t>
      </w:r>
      <w:r>
        <w:rPr>
          <w:rFonts w:hint="eastAsia" w:ascii="仿宋" w:hAnsi="仿宋" w:eastAsia="仿宋" w:cs="仿宋"/>
          <w:color w:val="000000"/>
          <w:kern w:val="0"/>
          <w:sz w:val="28"/>
          <w:szCs w:val="28"/>
          <w:highlight w:val="none"/>
          <w:lang w:val="en-US" w:eastAsia="zh-CN" w:bidi="ar"/>
        </w:rPr>
        <w:t>配利润的36.92%，现</w:t>
      </w:r>
      <w:r>
        <w:rPr>
          <w:rFonts w:hint="eastAsia" w:ascii="仿宋" w:hAnsi="仿宋" w:eastAsia="仿宋" w:cs="仿宋"/>
          <w:color w:val="000000"/>
          <w:kern w:val="0"/>
          <w:sz w:val="28"/>
          <w:szCs w:val="28"/>
          <w:lang w:val="en-US" w:eastAsia="zh-CN" w:bidi="ar"/>
        </w:rPr>
        <w:t>金分红占本次利润分配总额的100%，符合《公司章程》规定的利润分配政策，截至报告期末公司货币资金充足，本次现金分红不会造成公司流动资金短缺，不会影响公司正常生产经营。公司的现金分红水平与所处行业上市公司平均水平不存在重大差异。</w:t>
      </w:r>
    </w:p>
    <w:p w14:paraId="17B8627A">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二、利润分配预案的合法性、合规性 </w:t>
      </w:r>
    </w:p>
    <w:p w14:paraId="246321D1">
      <w:pPr>
        <w:keepNext w:val="0"/>
        <w:keepLines w:val="0"/>
        <w:widowControl/>
        <w:suppressLineNumbers w:val="0"/>
        <w:ind w:firstLine="560" w:firstLineChars="2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公司已于2024年5月28日召开2023年度股东大会审议通过了《公司2024年中期分红安排》，同意2024年半年度，公司结合2023年末未分配利润与当期业绩进行分红，以当时总股本为基数，在满足《公司章程》规定的利润分配条件的前提下，现金分红金额不超过相应期间归属于上市公司股东的净利润的30%。股东大会同意授权董事会根据股东大会决议在符合利润分配的条件下制定具体的中期分红方案。本次利润分配预案无需提交股东大会审议。</w:t>
      </w:r>
    </w:p>
    <w:p w14:paraId="5C5CF76E">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本次利润分配预案符合《公司法》《企业会计准则》《深圳证券交易所股票上市规则》《深圳证券交易所上市公司自律监管指引第1号——主板上市公司规范运作》及《公司章程》等规定，符合</w:t>
      </w:r>
      <w:r>
        <w:rPr>
          <w:rFonts w:hint="eastAsia" w:ascii="仿宋" w:hAnsi="仿宋" w:eastAsia="仿宋" w:cs="仿宋"/>
          <w:sz w:val="28"/>
          <w:szCs w:val="36"/>
          <w:lang w:val="en-US" w:eastAsia="zh-CN"/>
        </w:rPr>
        <w:t>《</w:t>
      </w:r>
      <w:r>
        <w:rPr>
          <w:rFonts w:hint="default" w:ascii="仿宋" w:hAnsi="仿宋" w:eastAsia="仿宋" w:cs="仿宋"/>
          <w:b w:val="0"/>
          <w:bCs w:val="0"/>
          <w:sz w:val="28"/>
          <w:szCs w:val="36"/>
          <w:lang w:val="en-US" w:eastAsia="zh-CN"/>
        </w:rPr>
        <w:t>公司</w:t>
      </w:r>
      <w:r>
        <w:rPr>
          <w:rFonts w:hint="eastAsia" w:ascii="仿宋" w:hAnsi="仿宋" w:eastAsia="仿宋" w:cs="仿宋"/>
          <w:b w:val="0"/>
          <w:bCs w:val="0"/>
          <w:sz w:val="28"/>
          <w:szCs w:val="36"/>
          <w:lang w:val="en-US" w:eastAsia="zh-CN"/>
        </w:rPr>
        <w:t>2024年</w:t>
      </w:r>
      <w:r>
        <w:rPr>
          <w:rFonts w:hint="default" w:ascii="仿宋" w:hAnsi="仿宋" w:eastAsia="仿宋" w:cs="仿宋"/>
          <w:b w:val="0"/>
          <w:bCs w:val="0"/>
          <w:sz w:val="28"/>
          <w:szCs w:val="36"/>
          <w:lang w:val="en-US" w:eastAsia="zh-CN"/>
        </w:rPr>
        <w:t>中期分红安排</w:t>
      </w:r>
      <w:r>
        <w:rPr>
          <w:rFonts w:hint="eastAsia" w:ascii="仿宋" w:hAnsi="仿宋" w:eastAsia="仿宋" w:cs="仿宋"/>
          <w:b w:val="0"/>
          <w:bCs w:val="0"/>
          <w:sz w:val="28"/>
          <w:szCs w:val="36"/>
          <w:lang w:val="en-US" w:eastAsia="zh-CN"/>
        </w:rPr>
        <w:t>》、</w:t>
      </w:r>
      <w:r>
        <w:rPr>
          <w:rFonts w:hint="eastAsia" w:ascii="仿宋" w:hAnsi="仿宋" w:eastAsia="仿宋" w:cs="仿宋"/>
          <w:color w:val="000000"/>
          <w:kern w:val="0"/>
          <w:sz w:val="28"/>
          <w:szCs w:val="28"/>
          <w:lang w:val="en-US" w:eastAsia="zh-CN" w:bidi="ar"/>
        </w:rPr>
        <w:t>公司确定的利润分配政策以及股东回报规划，具备合法性、合规性。</w:t>
      </w:r>
    </w:p>
    <w:p w14:paraId="67F77F8B">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三、独立董事专门会议审查意见 </w:t>
      </w:r>
    </w:p>
    <w:p w14:paraId="416EEFD7">
      <w:pPr>
        <w:numPr>
          <w:ilvl w:val="0"/>
          <w:numId w:val="0"/>
        </w:numPr>
        <w:ind w:firstLine="560" w:firstLineChars="200"/>
        <w:rPr>
          <w:rFonts w:hint="eastAsia" w:ascii="仿宋" w:hAnsi="仿宋" w:eastAsia="仿宋" w:cs="仿宋"/>
          <w:sz w:val="28"/>
          <w:szCs w:val="36"/>
          <w:lang w:eastAsia="zh-CN"/>
        </w:rPr>
      </w:pPr>
      <w:r>
        <w:rPr>
          <w:rFonts w:hint="eastAsia" w:eastAsia="仿宋" w:cs="Times New Roman"/>
          <w:b w:val="0"/>
          <w:bCs/>
          <w:sz w:val="28"/>
          <w:szCs w:val="28"/>
          <w:highlight w:val="none"/>
          <w:lang w:val="en-US" w:eastAsia="zh-CN"/>
        </w:rPr>
        <w:t>经审查，</w:t>
      </w:r>
      <w:r>
        <w:rPr>
          <w:rFonts w:hint="default" w:ascii="Times New Roman" w:hAnsi="Times New Roman" w:eastAsia="仿宋" w:cs="Times New Roman"/>
          <w:b w:val="0"/>
          <w:bCs/>
          <w:sz w:val="28"/>
          <w:szCs w:val="28"/>
          <w:highlight w:val="none"/>
        </w:rPr>
        <w:t>公</w:t>
      </w:r>
      <w:r>
        <w:rPr>
          <w:rFonts w:hint="default" w:ascii="仿宋" w:hAnsi="仿宋" w:eastAsia="仿宋" w:cs="仿宋"/>
          <w:b w:val="0"/>
          <w:bCs/>
          <w:sz w:val="28"/>
          <w:szCs w:val="36"/>
        </w:rPr>
        <w:t>司202</w:t>
      </w:r>
      <w:r>
        <w:rPr>
          <w:rFonts w:hint="eastAsia" w:ascii="仿宋" w:hAnsi="仿宋" w:eastAsia="仿宋" w:cs="仿宋"/>
          <w:b w:val="0"/>
          <w:bCs/>
          <w:sz w:val="28"/>
          <w:szCs w:val="36"/>
          <w:lang w:val="en-US" w:eastAsia="zh-CN"/>
        </w:rPr>
        <w:t>4</w:t>
      </w:r>
      <w:r>
        <w:rPr>
          <w:rFonts w:hint="default" w:ascii="仿宋" w:hAnsi="仿宋" w:eastAsia="仿宋" w:cs="仿宋"/>
          <w:b w:val="0"/>
          <w:bCs/>
          <w:sz w:val="28"/>
          <w:szCs w:val="36"/>
        </w:rPr>
        <w:t>年</w:t>
      </w:r>
      <w:r>
        <w:rPr>
          <w:rFonts w:hint="eastAsia" w:ascii="仿宋" w:hAnsi="仿宋" w:eastAsia="仿宋" w:cs="仿宋"/>
          <w:b w:val="0"/>
          <w:bCs/>
          <w:sz w:val="28"/>
          <w:szCs w:val="36"/>
          <w:lang w:val="en-US" w:eastAsia="zh-CN"/>
        </w:rPr>
        <w:t>半年</w:t>
      </w:r>
      <w:r>
        <w:rPr>
          <w:rFonts w:hint="default" w:ascii="仿宋" w:hAnsi="仿宋" w:eastAsia="仿宋" w:cs="仿宋"/>
          <w:sz w:val="28"/>
          <w:szCs w:val="36"/>
        </w:rPr>
        <w:t>度利润分配</w:t>
      </w:r>
      <w:r>
        <w:rPr>
          <w:rFonts w:hint="eastAsia" w:ascii="仿宋" w:hAnsi="仿宋" w:eastAsia="仿宋" w:cs="仿宋"/>
          <w:sz w:val="28"/>
          <w:szCs w:val="36"/>
          <w:lang w:eastAsia="zh-CN"/>
        </w:rPr>
        <w:t>预</w:t>
      </w:r>
      <w:r>
        <w:rPr>
          <w:rFonts w:hint="default" w:ascii="仿宋" w:hAnsi="仿宋" w:eastAsia="仿宋" w:cs="仿宋"/>
          <w:sz w:val="28"/>
          <w:szCs w:val="36"/>
        </w:rPr>
        <w:t>案符合《公司法》、中国证监会《关于进一步落实上市公司现金分红有关事项的通知》</w:t>
      </w:r>
      <w:r>
        <w:rPr>
          <w:rFonts w:hint="eastAsia" w:ascii="仿宋" w:hAnsi="仿宋" w:eastAsia="仿宋" w:cs="仿宋"/>
          <w:sz w:val="28"/>
          <w:szCs w:val="36"/>
          <w:lang w:eastAsia="zh-CN"/>
        </w:rPr>
        <w:t>《</w:t>
      </w:r>
      <w:r>
        <w:rPr>
          <w:rFonts w:hint="default" w:ascii="仿宋" w:hAnsi="仿宋" w:eastAsia="仿宋" w:cs="仿宋"/>
          <w:sz w:val="28"/>
          <w:szCs w:val="36"/>
        </w:rPr>
        <w:t>上市公司监管指引第3号——上市公司现金分红（2023年修订）</w:t>
      </w:r>
      <w:r>
        <w:rPr>
          <w:rFonts w:hint="eastAsia" w:ascii="仿宋" w:hAnsi="仿宋" w:eastAsia="仿宋" w:cs="仿宋"/>
          <w:sz w:val="28"/>
          <w:szCs w:val="36"/>
          <w:lang w:eastAsia="zh-CN"/>
        </w:rPr>
        <w:t>》</w:t>
      </w:r>
      <w:r>
        <w:rPr>
          <w:rFonts w:hint="default" w:ascii="仿宋" w:hAnsi="仿宋" w:eastAsia="仿宋" w:cs="仿宋"/>
          <w:sz w:val="28"/>
          <w:szCs w:val="36"/>
        </w:rPr>
        <w:t>等法律法规以及公司《章程》等有关规定，</w:t>
      </w:r>
      <w:r>
        <w:rPr>
          <w:rFonts w:hint="eastAsia" w:ascii="仿宋" w:hAnsi="仿宋" w:eastAsia="仿宋" w:cs="仿宋"/>
          <w:sz w:val="28"/>
          <w:szCs w:val="36"/>
          <w:lang w:val="en-US" w:eastAsia="zh-CN"/>
        </w:rPr>
        <w:t>符</w:t>
      </w:r>
      <w:r>
        <w:rPr>
          <w:rFonts w:hint="default" w:ascii="仿宋" w:hAnsi="仿宋" w:eastAsia="仿宋" w:cs="仿宋"/>
          <w:sz w:val="28"/>
          <w:szCs w:val="36"/>
          <w:lang w:val="en-US" w:eastAsia="zh-CN"/>
        </w:rPr>
        <w:t>合</w:t>
      </w:r>
      <w:r>
        <w:rPr>
          <w:rFonts w:hint="eastAsia" w:ascii="仿宋" w:hAnsi="仿宋" w:eastAsia="仿宋" w:cs="仿宋"/>
          <w:sz w:val="28"/>
          <w:szCs w:val="36"/>
          <w:lang w:val="en-US" w:eastAsia="zh-CN"/>
        </w:rPr>
        <w:t>《</w:t>
      </w:r>
      <w:r>
        <w:rPr>
          <w:rFonts w:hint="default" w:ascii="仿宋" w:hAnsi="仿宋" w:eastAsia="仿宋" w:cs="仿宋"/>
          <w:b w:val="0"/>
          <w:bCs w:val="0"/>
          <w:sz w:val="28"/>
          <w:szCs w:val="36"/>
          <w:lang w:val="en-US" w:eastAsia="zh-CN"/>
        </w:rPr>
        <w:t>公司</w:t>
      </w:r>
      <w:r>
        <w:rPr>
          <w:rFonts w:hint="eastAsia" w:ascii="仿宋" w:hAnsi="仿宋" w:eastAsia="仿宋" w:cs="仿宋"/>
          <w:b w:val="0"/>
          <w:bCs w:val="0"/>
          <w:sz w:val="28"/>
          <w:szCs w:val="36"/>
          <w:lang w:val="en-US" w:eastAsia="zh-CN"/>
        </w:rPr>
        <w:t>2024年</w:t>
      </w:r>
      <w:r>
        <w:rPr>
          <w:rFonts w:hint="default" w:ascii="仿宋" w:hAnsi="仿宋" w:eastAsia="仿宋" w:cs="仿宋"/>
          <w:b w:val="0"/>
          <w:bCs w:val="0"/>
          <w:sz w:val="28"/>
          <w:szCs w:val="36"/>
          <w:lang w:val="en-US" w:eastAsia="zh-CN"/>
        </w:rPr>
        <w:t>中期分红安排</w:t>
      </w:r>
      <w:r>
        <w:rPr>
          <w:rFonts w:hint="eastAsia" w:ascii="仿宋" w:hAnsi="仿宋" w:eastAsia="仿宋" w:cs="仿宋"/>
          <w:b w:val="0"/>
          <w:bCs w:val="0"/>
          <w:sz w:val="28"/>
          <w:szCs w:val="36"/>
          <w:lang w:val="en-US" w:eastAsia="zh-CN"/>
        </w:rPr>
        <w:t>》</w:t>
      </w:r>
      <w:r>
        <w:rPr>
          <w:rFonts w:hint="default" w:ascii="仿宋" w:hAnsi="仿宋" w:eastAsia="仿宋" w:cs="仿宋"/>
          <w:sz w:val="28"/>
          <w:szCs w:val="36"/>
          <w:lang w:val="en-US" w:eastAsia="zh-CN"/>
        </w:rPr>
        <w:t>及</w:t>
      </w:r>
      <w:r>
        <w:rPr>
          <w:rFonts w:hint="default" w:ascii="仿宋" w:hAnsi="仿宋" w:eastAsia="仿宋" w:cs="仿宋"/>
          <w:sz w:val="28"/>
          <w:szCs w:val="36"/>
        </w:rPr>
        <w:t>公司实际情况，不存在损害公司及股东利益的情况</w:t>
      </w:r>
      <w:r>
        <w:rPr>
          <w:rFonts w:hint="eastAsia" w:ascii="仿宋" w:hAnsi="仿宋" w:eastAsia="仿宋" w:cs="仿宋"/>
          <w:sz w:val="28"/>
          <w:szCs w:val="36"/>
          <w:lang w:eastAsia="zh-CN"/>
        </w:rPr>
        <w:t>。</w:t>
      </w:r>
    </w:p>
    <w:p w14:paraId="6F98463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四、董事会审计委员会意见 </w:t>
      </w:r>
    </w:p>
    <w:p w14:paraId="228FB07C">
      <w:pPr>
        <w:pStyle w:val="7"/>
        <w:keepNext w:val="0"/>
        <w:keepLines w:val="0"/>
        <w:pageBreakBefore w:val="0"/>
        <w:widowControl w:val="0"/>
        <w:kinsoku/>
        <w:wordWrap/>
        <w:overflowPunct/>
        <w:topLinePunct w:val="0"/>
        <w:autoSpaceDE/>
        <w:autoSpaceDN/>
        <w:bidi w:val="0"/>
        <w:adjustRightInd/>
        <w:spacing w:after="0" w:line="620" w:lineRule="exact"/>
        <w:ind w:left="0" w:leftChars="0" w:right="0" w:rightChars="0" w:firstLine="560" w:firstLineChars="200"/>
        <w:textAlignment w:val="auto"/>
        <w:rPr>
          <w:rFonts w:hint="eastAsia"/>
          <w:lang w:eastAsia="zh-CN"/>
        </w:rPr>
      </w:pPr>
      <w:r>
        <w:rPr>
          <w:rFonts w:hint="eastAsia" w:ascii="仿宋" w:hAnsi="仿宋" w:eastAsia="仿宋" w:cs="仿宋"/>
          <w:b w:val="0"/>
          <w:bCs/>
          <w:kern w:val="2"/>
          <w:sz w:val="28"/>
          <w:szCs w:val="36"/>
          <w:lang w:val="en-US" w:eastAsia="zh-CN" w:bidi="ar-SA"/>
        </w:rPr>
        <w:t>审计委员会认为：公司2024年半年度利润分配预案</w:t>
      </w:r>
      <w:r>
        <w:rPr>
          <w:rFonts w:hint="default" w:ascii="仿宋" w:hAnsi="仿宋" w:eastAsia="仿宋" w:cs="仿宋"/>
          <w:b w:val="0"/>
          <w:bCs/>
          <w:kern w:val="2"/>
          <w:sz w:val="28"/>
          <w:szCs w:val="36"/>
          <w:lang w:val="en-US" w:eastAsia="zh-CN" w:bidi="ar-SA"/>
        </w:rPr>
        <w:t>符合《公司法》《上市公司监管指引第3号——上市公司现金分红》以及公司《章程》等相关规定，符合公司确定的利润分配政策、股东回报规划，是基于公司经营状况、未来发展规划的基础上提出的，具备合法性、合规性及合理性。</w:t>
      </w:r>
      <w:r>
        <w:rPr>
          <w:rFonts w:hint="eastAsia" w:ascii="仿宋" w:hAnsi="仿宋" w:eastAsia="仿宋" w:cs="仿宋"/>
          <w:b w:val="0"/>
          <w:bCs/>
          <w:kern w:val="2"/>
          <w:sz w:val="28"/>
          <w:szCs w:val="36"/>
          <w:lang w:val="en-US" w:eastAsia="zh-CN" w:bidi="ar-SA"/>
        </w:rPr>
        <w:t>综上，公司董事会审计委员会认为2024年半年度利润分配预案充分、合理。</w:t>
      </w:r>
    </w:p>
    <w:p w14:paraId="34D547D8">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五、董事会意见</w:t>
      </w:r>
    </w:p>
    <w:p w14:paraId="19BDC1B5">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公司董事会认为：本次利润分配预案在保障公司正常经营和长远发展的前提下，综合考虑 2024 年半年度的盈利水平和整体财务状况，兼顾了股东的即期利益和长远利益，体现了公司积极回报股东、与全体股东共享公司成长的经营成果的原则。符合《公司法》《企业会计准则》《深圳证券交易所上市公司自律监管指引第 1 号——主板上市公司规范运作》及《公司章程》等规定，符合公司确定的利润分配政策、股东回报规划。</w:t>
      </w:r>
    </w:p>
    <w:p w14:paraId="557B5D01">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六、监事会意见 </w:t>
      </w:r>
    </w:p>
    <w:p w14:paraId="2AF105D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公司监事会认为：董事会提出的 2024年半年度利润分配预案综合考虑了 2024年半年度的盈利水平和整体财务状况，兼顾了股东的即期利益和长远利益，体现了公司积极回报股东、与全体股东分享公司成长的经营成果的原则。符合公司现状和当前运作的实际，也符合《公司法》《企业会计准则》《深圳证券交易所上市公司自律监管指引第 1 号——主板上市公司规范运作》《公司章程》等相关规定，不存在损害公司股东尤其是中小股东利益的情形。 </w:t>
      </w:r>
    </w:p>
    <w:p w14:paraId="4CEF842E">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七、备查文件 </w:t>
      </w:r>
    </w:p>
    <w:p w14:paraId="3A542850">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1、公司第九届董事会第二十一次会议决议； </w:t>
      </w:r>
    </w:p>
    <w:p w14:paraId="1F29DA38">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2、公司第九届监事会第十三次会议决议； </w:t>
      </w:r>
    </w:p>
    <w:p w14:paraId="0A19B797">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3、2024年第三次独立董事专门会议审查意见；</w:t>
      </w:r>
    </w:p>
    <w:p w14:paraId="1C0EE3E6">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4、公司第九届董事会审计委员会2024年第三次会议纪要。 </w:t>
      </w:r>
    </w:p>
    <w:p w14:paraId="175FEB1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0C08011">
      <w:pPr>
        <w:keepNext w:val="0"/>
        <w:keepLines w:val="0"/>
        <w:widowControl/>
        <w:suppressLineNumbers w:val="0"/>
        <w:ind w:firstLine="560" w:firstLineChars="200"/>
        <w:jc w:val="left"/>
        <w:rPr>
          <w:rFonts w:hint="eastAsia" w:ascii="仿宋" w:hAnsi="仿宋" w:eastAsia="仿宋" w:cs="仿宋"/>
          <w:sz w:val="28"/>
          <w:szCs w:val="28"/>
        </w:rPr>
      </w:pPr>
      <w:bookmarkStart w:id="0" w:name="_GoBack"/>
      <w:bookmarkEnd w:id="0"/>
      <w:r>
        <w:rPr>
          <w:rFonts w:hint="eastAsia" w:ascii="仿宋" w:hAnsi="仿宋" w:eastAsia="仿宋" w:cs="仿宋"/>
          <w:color w:val="000000"/>
          <w:kern w:val="0"/>
          <w:sz w:val="28"/>
          <w:szCs w:val="28"/>
          <w:lang w:val="en-US" w:eastAsia="zh-CN" w:bidi="ar"/>
        </w:rPr>
        <w:t xml:space="preserve">特此公告。 </w:t>
      </w:r>
    </w:p>
    <w:p w14:paraId="25B74ED9">
      <w:pPr>
        <w:spacing w:line="600" w:lineRule="exact"/>
        <w:ind w:firstLine="4620" w:firstLineChars="1650"/>
        <w:rPr>
          <w:rFonts w:eastAsia="仿宋"/>
          <w:sz w:val="28"/>
          <w:szCs w:val="28"/>
        </w:rPr>
      </w:pPr>
    </w:p>
    <w:p w14:paraId="09AC626A">
      <w:pPr>
        <w:spacing w:line="600" w:lineRule="exact"/>
        <w:ind w:firstLine="4620" w:firstLineChars="1650"/>
        <w:rPr>
          <w:rFonts w:eastAsia="仿宋"/>
          <w:sz w:val="28"/>
          <w:szCs w:val="28"/>
        </w:rPr>
      </w:pPr>
      <w:r>
        <w:rPr>
          <w:rFonts w:eastAsia="仿宋"/>
          <w:sz w:val="28"/>
          <w:szCs w:val="28"/>
        </w:rPr>
        <w:t>吉林电力股份有限公司董事会</w:t>
      </w:r>
    </w:p>
    <w:p w14:paraId="33188516">
      <w:pPr>
        <w:spacing w:line="600" w:lineRule="exact"/>
        <w:ind w:firstLine="560" w:firstLineChars="200"/>
        <w:rPr>
          <w:rFonts w:eastAsia="仿宋"/>
          <w:sz w:val="28"/>
          <w:szCs w:val="28"/>
        </w:rPr>
      </w:pPr>
      <w:r>
        <w:rPr>
          <w:rFonts w:eastAsia="仿宋"/>
          <w:sz w:val="28"/>
          <w:szCs w:val="28"/>
        </w:rPr>
        <w:t xml:space="preserve">                               二</w:t>
      </w:r>
      <w:r>
        <w:rPr>
          <w:rFonts w:hint="eastAsia" w:ascii="仿宋" w:hAnsi="仿宋" w:eastAsia="仿宋" w:cs="仿宋"/>
          <w:sz w:val="28"/>
          <w:szCs w:val="28"/>
        </w:rPr>
        <w:t>○</w:t>
      </w:r>
      <w:r>
        <w:rPr>
          <w:rFonts w:eastAsia="仿宋"/>
          <w:sz w:val="28"/>
          <w:szCs w:val="28"/>
        </w:rPr>
        <w:t>二</w:t>
      </w:r>
      <w:r>
        <w:rPr>
          <w:rFonts w:hint="eastAsia" w:eastAsia="仿宋"/>
          <w:sz w:val="28"/>
          <w:szCs w:val="28"/>
          <w:lang w:val="en-US" w:eastAsia="zh-CN"/>
        </w:rPr>
        <w:t>四</w:t>
      </w:r>
      <w:r>
        <w:rPr>
          <w:rFonts w:eastAsia="仿宋"/>
          <w:sz w:val="28"/>
          <w:szCs w:val="28"/>
        </w:rPr>
        <w:t>年</w:t>
      </w:r>
      <w:r>
        <w:rPr>
          <w:rFonts w:hint="eastAsia" w:eastAsia="仿宋"/>
          <w:sz w:val="28"/>
          <w:szCs w:val="28"/>
          <w:lang w:val="en-US" w:eastAsia="zh-CN"/>
        </w:rPr>
        <w:t>七</w:t>
      </w:r>
      <w:r>
        <w:rPr>
          <w:rFonts w:eastAsia="仿宋"/>
          <w:sz w:val="28"/>
          <w:szCs w:val="28"/>
        </w:rPr>
        <w:t>月二十</w:t>
      </w:r>
      <w:r>
        <w:rPr>
          <w:rFonts w:hint="eastAsia" w:eastAsia="仿宋"/>
          <w:sz w:val="28"/>
          <w:szCs w:val="28"/>
          <w:lang w:val="en-US" w:eastAsia="zh-CN"/>
        </w:rPr>
        <w:t>九</w:t>
      </w:r>
      <w:r>
        <w:rPr>
          <w:rFonts w:eastAsia="仿宋"/>
          <w:sz w:val="28"/>
          <w:szCs w:val="28"/>
        </w:rPr>
        <w:t>日</w:t>
      </w:r>
    </w:p>
    <w:p w14:paraId="2AF4A971">
      <w:pPr>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000000"/>
    <w:rsid w:val="005C2464"/>
    <w:rsid w:val="052C3C73"/>
    <w:rsid w:val="056A6870"/>
    <w:rsid w:val="0C647D62"/>
    <w:rsid w:val="0C93502E"/>
    <w:rsid w:val="156E36A0"/>
    <w:rsid w:val="163F6D8E"/>
    <w:rsid w:val="183E0A52"/>
    <w:rsid w:val="19AF5431"/>
    <w:rsid w:val="20DD5AF8"/>
    <w:rsid w:val="40621CE8"/>
    <w:rsid w:val="444C2243"/>
    <w:rsid w:val="478A71EC"/>
    <w:rsid w:val="489B1ED5"/>
    <w:rsid w:val="4BD86844"/>
    <w:rsid w:val="4D877542"/>
    <w:rsid w:val="4DF74D1B"/>
    <w:rsid w:val="521336FA"/>
    <w:rsid w:val="52486C0F"/>
    <w:rsid w:val="53FD6852"/>
    <w:rsid w:val="55AA30E2"/>
    <w:rsid w:val="55BB50E4"/>
    <w:rsid w:val="55F96F9C"/>
    <w:rsid w:val="5E5055FA"/>
    <w:rsid w:val="605F6713"/>
    <w:rsid w:val="632A7D07"/>
    <w:rsid w:val="64DC031D"/>
    <w:rsid w:val="6A117447"/>
    <w:rsid w:val="748B4E92"/>
    <w:rsid w:val="76C30EE4"/>
    <w:rsid w:val="79194C3C"/>
    <w:rsid w:val="797337C0"/>
    <w:rsid w:val="7C8640EC"/>
    <w:rsid w:val="7D903A9A"/>
    <w:rsid w:val="7EC60447"/>
    <w:rsid w:val="7F6B0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rPr>
  </w:style>
  <w:style w:type="paragraph" w:styleId="3">
    <w:name w:val="Body Text Indent"/>
    <w:basedOn w:val="1"/>
    <w:next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8">
    <w:name w:val="Body Text Indent 2"/>
    <w:basedOn w:val="1"/>
    <w:qFormat/>
    <w:uiPriority w:val="0"/>
    <w:pPr>
      <w:spacing w:after="120" w:line="480" w:lineRule="auto"/>
      <w:ind w:left="420" w:left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1835</Words>
  <Characters>2036</Characters>
  <Lines>0</Lines>
  <Paragraphs>0</Paragraphs>
  <TotalTime>3</TotalTime>
  <ScaleCrop>false</ScaleCrop>
  <LinksUpToDate>false</LinksUpToDate>
  <CharactersWithSpaces>2116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2023-08-17T07:58:00Z</dcterms:created>
  <dc:creator>JIA</dc:creator>
  <cp:lastModifiedBy>WPS_1591103659</cp:lastModifiedBy>
  <dcterms:modified xsi:type="dcterms:W3CDTF">2024-07-30T09:32:55Z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EE67D48DB92B474590447E00C72C37F1_13</vt:lpwstr>
  </property>
</Properties>
</file>