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eastAsia="宋体"/>
          <w:color w:val="auto"/>
          <w:sz w:val="21"/>
          <w:highlight w:val="none"/>
          <w:lang w:val="en-US" w:eastAsia="zh-CN"/>
        </w:rPr>
      </w:pPr>
      <w:r>
        <w:rPr>
          <w:rFonts w:ascii="Times New Roman" w:eastAsia="宋体"/>
          <w:color w:val="auto"/>
          <w:sz w:val="21"/>
          <w:highlight w:val="none"/>
        </w:rPr>
        <w:t>证券代码：000875               证券简称：吉电股份              公告编号：202</w:t>
      </w:r>
      <w:r>
        <w:rPr>
          <w:rFonts w:hint="eastAsia" w:ascii="Times New Roman" w:eastAsia="宋体"/>
          <w:color w:val="auto"/>
          <w:sz w:val="21"/>
          <w:highlight w:val="none"/>
          <w:lang w:val="en-US" w:eastAsia="zh-CN"/>
        </w:rPr>
        <w:t>4</w:t>
      </w:r>
      <w:r>
        <w:rPr>
          <w:rFonts w:ascii="Times New Roman" w:eastAsia="宋体"/>
          <w:color w:val="auto"/>
          <w:sz w:val="21"/>
          <w:highlight w:val="none"/>
        </w:rPr>
        <w:t>-</w:t>
      </w:r>
      <w:r>
        <w:rPr>
          <w:rFonts w:hint="eastAsia" w:ascii="Times New Roman" w:eastAsia="宋体"/>
          <w:color w:val="auto"/>
          <w:sz w:val="21"/>
          <w:highlight w:val="none"/>
          <w:lang w:val="en-US" w:eastAsia="zh-CN"/>
        </w:rPr>
        <w:t>053</w:t>
      </w:r>
    </w:p>
    <w:p>
      <w:pPr>
        <w:rPr>
          <w:rFonts w:ascii="Times New Roman"/>
          <w:color w:val="auto"/>
          <w:highlight w:val="none"/>
          <w:u w:val="single"/>
        </w:rPr>
      </w:pPr>
      <w:r>
        <w:rPr>
          <w:rFonts w:asci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ascii="Times New Roman" w:eastAsia="宋体"/>
          <w:b/>
          <w:color w:val="auto"/>
          <w:sz w:val="44"/>
          <w:highlight w:val="none"/>
        </w:rPr>
      </w:pPr>
      <w:r>
        <w:rPr>
          <w:rFonts w:ascii="Times New Roman" w:eastAsia="宋体"/>
          <w:b/>
          <w:color w:val="auto"/>
          <w:sz w:val="44"/>
          <w:highlight w:val="none"/>
        </w:rPr>
        <w:t>吉林电力股份有限公司</w:t>
      </w:r>
    </w:p>
    <w:p>
      <w:pPr>
        <w:jc w:val="center"/>
        <w:rPr>
          <w:rFonts w:ascii="Times New Roman" w:eastAsia="宋体"/>
          <w:b/>
          <w:color w:val="auto"/>
          <w:sz w:val="44"/>
          <w:highlight w:val="none"/>
        </w:rPr>
      </w:pPr>
      <w:r>
        <w:rPr>
          <w:rFonts w:ascii="Times New Roman" w:eastAsia="宋体"/>
          <w:b/>
          <w:color w:val="auto"/>
          <w:sz w:val="44"/>
          <w:highlight w:val="none"/>
        </w:rPr>
        <w:t>202</w:t>
      </w:r>
      <w:r>
        <w:rPr>
          <w:rFonts w:hint="eastAsia" w:ascii="Times New Roman" w:eastAsia="宋体"/>
          <w:b/>
          <w:color w:val="auto"/>
          <w:sz w:val="44"/>
          <w:highlight w:val="none"/>
          <w:lang w:val="en-US" w:eastAsia="zh-CN"/>
        </w:rPr>
        <w:t>4</w:t>
      </w:r>
      <w:r>
        <w:rPr>
          <w:rFonts w:ascii="Times New Roman" w:eastAsia="宋体"/>
          <w:b/>
          <w:color w:val="auto"/>
          <w:sz w:val="44"/>
          <w:highlight w:val="none"/>
        </w:rPr>
        <w:t>年第</w:t>
      </w:r>
      <w:r>
        <w:rPr>
          <w:rFonts w:hint="eastAsia" w:ascii="Times New Roman" w:eastAsia="宋体"/>
          <w:b/>
          <w:color w:val="auto"/>
          <w:sz w:val="44"/>
          <w:highlight w:val="none"/>
          <w:lang w:val="en-US" w:eastAsia="zh-CN"/>
        </w:rPr>
        <w:t>三</w:t>
      </w:r>
      <w:r>
        <w:rPr>
          <w:rFonts w:ascii="Times New Roman" w:eastAsia="宋体"/>
          <w:b/>
          <w:color w:val="auto"/>
          <w:sz w:val="44"/>
          <w:highlight w:val="none"/>
        </w:rPr>
        <w:t>次临时股东大会决议公告</w:t>
      </w:r>
    </w:p>
    <w:p>
      <w:pPr>
        <w:jc w:val="center"/>
        <w:rPr>
          <w:rFonts w:ascii="Times New Roman"/>
          <w:color w:val="auto"/>
          <w:sz w:val="24"/>
          <w:szCs w:val="24"/>
          <w:highlight w:val="none"/>
        </w:rPr>
      </w:pP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本公司及董事会全体成员保证信息披露的内容真实、准确、完整，没有虚假记载、误导性陈述或重大遗漏。</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宋体"/>
          <w:b/>
          <w:color w:val="auto"/>
          <w:szCs w:val="28"/>
          <w:highlight w:val="none"/>
        </w:rPr>
      </w:pPr>
      <w:r>
        <w:rPr>
          <w:rFonts w:ascii="Times New Roman" w:eastAsia="宋体"/>
          <w:b/>
          <w:color w:val="auto"/>
          <w:szCs w:val="28"/>
          <w:highlight w:val="none"/>
        </w:rPr>
        <w:t>特别提示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1.本次临时股东大会没有否决提案的情形；</w:t>
      </w:r>
    </w:p>
    <w:p>
      <w:pPr>
        <w:spacing w:line="600" w:lineRule="exact"/>
        <w:ind w:firstLine="560" w:firstLineChars="200"/>
        <w:rPr>
          <w:rFonts w:ascii="Times New Roman" w:eastAsia="仿宋"/>
          <w:color w:val="auto"/>
          <w:szCs w:val="28"/>
          <w:highlight w:val="none"/>
        </w:rPr>
      </w:pPr>
      <w:r>
        <w:rPr>
          <w:rFonts w:ascii="Times New Roman" w:eastAsia="仿宋"/>
          <w:color w:val="auto"/>
          <w:szCs w:val="28"/>
          <w:highlight w:val="none"/>
        </w:rPr>
        <w:t>2.本次临时股东大会不涉及变更以往股东大会决议的情形。</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一、会议召开和出席情况</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1.会议召开的时间：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现场会议召开时间为：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6</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14</w:t>
      </w:r>
      <w:r>
        <w:rPr>
          <w:rFonts w:hint="eastAsia" w:ascii="Times New Roman" w:eastAsia="仿宋"/>
          <w:color w:val="auto"/>
          <w:szCs w:val="28"/>
          <w:highlight w:val="none"/>
        </w:rPr>
        <w:t>日（星期</w:t>
      </w:r>
      <w:r>
        <w:rPr>
          <w:rFonts w:hint="eastAsia" w:ascii="Times New Roman" w:eastAsia="仿宋"/>
          <w:color w:val="auto"/>
          <w:szCs w:val="28"/>
          <w:highlight w:val="none"/>
          <w:lang w:val="en-US" w:eastAsia="zh-CN"/>
        </w:rPr>
        <w:t>五</w:t>
      </w:r>
      <w:r>
        <w:rPr>
          <w:rFonts w:hint="eastAsia" w:ascii="Times New Roman" w:eastAsia="仿宋"/>
          <w:color w:val="auto"/>
          <w:szCs w:val="28"/>
          <w:highlight w:val="none"/>
        </w:rPr>
        <w:t>）下午14:00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网络投票时间为：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6</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14</w:t>
      </w:r>
      <w:r>
        <w:rPr>
          <w:rFonts w:hint="eastAsia" w:ascii="Times New Roman" w:eastAsia="仿宋"/>
          <w:color w:val="auto"/>
          <w:szCs w:val="28"/>
          <w:highlight w:val="none"/>
        </w:rPr>
        <w:t>日</w:t>
      </w:r>
      <w:r>
        <w:rPr>
          <w:rFonts w:ascii="Times New Roman" w:eastAsia="仿宋"/>
          <w:color w:val="auto"/>
          <w:szCs w:val="28"/>
          <w:highlight w:val="none"/>
        </w:rPr>
        <w:t xml:space="preserve">，其中： </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（1）通过深交所交易系统投票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6</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14</w:t>
      </w:r>
      <w:r>
        <w:rPr>
          <w:rFonts w:hint="eastAsia" w:ascii="Times New Roman" w:eastAsia="仿宋"/>
          <w:color w:val="auto"/>
          <w:szCs w:val="28"/>
          <w:highlight w:val="none"/>
        </w:rPr>
        <w:t>日上午9:15-9:25，9:30-11:30和下午13:00-15:00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（2）通过互联网投票系统投票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6</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14</w:t>
      </w:r>
      <w:r>
        <w:rPr>
          <w:rFonts w:hint="eastAsia" w:ascii="Times New Roman" w:eastAsia="仿宋"/>
          <w:color w:val="auto"/>
          <w:szCs w:val="28"/>
          <w:highlight w:val="none"/>
        </w:rPr>
        <w:t>日9:15-15:00的任意时间</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2.现场会议召开地点</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吉林电力股份有限公司三楼会议室。</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3.会议召开方式</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本次临时股东大会以现场表决和网络投票相结合的方式进行。</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4.会议召集人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吉林电力股份有限公司第</w:t>
      </w:r>
      <w:r>
        <w:rPr>
          <w:rFonts w:hint="eastAsia" w:ascii="Times New Roman" w:eastAsia="仿宋"/>
          <w:color w:val="auto"/>
          <w:szCs w:val="28"/>
          <w:highlight w:val="none"/>
        </w:rPr>
        <w:t>九</w:t>
      </w:r>
      <w:r>
        <w:rPr>
          <w:rFonts w:ascii="Times New Roman" w:eastAsia="仿宋"/>
          <w:color w:val="auto"/>
          <w:szCs w:val="28"/>
          <w:highlight w:val="none"/>
        </w:rPr>
        <w:t>届董事会。</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5.会议主持人</w:t>
      </w:r>
    </w:p>
    <w:p>
      <w:pPr>
        <w:spacing w:line="600" w:lineRule="exact"/>
        <w:ind w:firstLine="560" w:firstLineChars="200"/>
        <w:jc w:val="left"/>
        <w:rPr>
          <w:rFonts w:ascii="Times New Roman" w:hAnsi="仿宋" w:eastAsia="仿宋"/>
          <w:color w:val="auto"/>
          <w:szCs w:val="28"/>
          <w:highlight w:val="none"/>
        </w:rPr>
      </w:pPr>
      <w:r>
        <w:rPr>
          <w:rFonts w:hint="eastAsia" w:ascii="Times New Roman" w:hAnsi="仿宋" w:eastAsia="仿宋"/>
          <w:color w:val="auto"/>
          <w:szCs w:val="28"/>
          <w:highlight w:val="none"/>
        </w:rPr>
        <w:t>公司董事长</w:t>
      </w:r>
      <w:r>
        <w:rPr>
          <w:rFonts w:hint="eastAsia" w:ascii="Times New Roman" w:hAnsi="仿宋" w:eastAsia="仿宋"/>
          <w:color w:val="auto"/>
          <w:szCs w:val="28"/>
          <w:highlight w:val="none"/>
          <w:lang w:val="en-US" w:eastAsia="zh-CN"/>
        </w:rPr>
        <w:t>杨玉峰</w:t>
      </w:r>
      <w:r>
        <w:rPr>
          <w:rFonts w:hint="eastAsia" w:ascii="Times New Roman" w:hAnsi="仿宋" w:eastAsia="仿宋"/>
          <w:color w:val="auto"/>
          <w:szCs w:val="28"/>
          <w:highlight w:val="none"/>
        </w:rPr>
        <w:t>先生因公无法出席本次会议，经半数以上董事推举，由董事牛国君先生主持本次会议</w:t>
      </w:r>
      <w:r>
        <w:rPr>
          <w:rFonts w:ascii="Times New Roman" w:hAnsi="仿宋"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6.本次股东大会的召开，符合《公司法》《上市公司股东大会规则》《股票上市规则》及公司《章程》的有关规定。</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（二）会议的出席情况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1.出席的总体情况</w:t>
      </w:r>
    </w:p>
    <w:p>
      <w:pPr>
        <w:spacing w:line="600" w:lineRule="exact"/>
        <w:ind w:firstLine="560" w:firstLineChars="200"/>
        <w:jc w:val="left"/>
        <w:rPr>
          <w:rFonts w:hint="eastAsia" w:ascii="Times New Roman" w:eastAsia="仿宋"/>
          <w:color w:val="auto"/>
          <w:szCs w:val="28"/>
          <w:highlight w:val="none"/>
          <w:lang w:eastAsia="zh-CN"/>
        </w:rPr>
      </w:pPr>
      <w:r>
        <w:rPr>
          <w:rFonts w:ascii="Times New Roman" w:eastAsia="仿宋"/>
          <w:color w:val="auto"/>
          <w:szCs w:val="28"/>
          <w:highlight w:val="none"/>
        </w:rPr>
        <w:t>参加本次股东大会现场会议和网络投票的股东及股东授权委托代表共</w:t>
      </w:r>
      <w:r>
        <w:rPr>
          <w:rFonts w:hint="eastAsia" w:ascii="Times New Roman" w:eastAsia="仿宋"/>
          <w:color w:val="auto"/>
          <w:szCs w:val="28"/>
          <w:highlight w:val="none"/>
          <w:lang w:val="en-US" w:eastAsia="zh-CN"/>
        </w:rPr>
        <w:t>34</w:t>
      </w:r>
      <w:r>
        <w:rPr>
          <w:rFonts w:ascii="Times New Roman" w:eastAsia="仿宋"/>
          <w:color w:val="auto"/>
          <w:szCs w:val="28"/>
          <w:highlight w:val="none"/>
        </w:rPr>
        <w:t>人，代表股份</w:t>
      </w:r>
      <w:r>
        <w:rPr>
          <w:rFonts w:hint="eastAsia" w:ascii="Times New Roman" w:eastAsia="仿宋"/>
          <w:color w:val="auto"/>
          <w:szCs w:val="28"/>
          <w:highlight w:val="none"/>
        </w:rPr>
        <w:t>906,873,603</w:t>
      </w:r>
      <w:bookmarkStart w:id="0" w:name="_GoBack"/>
      <w:bookmarkEnd w:id="0"/>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32.</w:t>
      </w:r>
      <w:r>
        <w:rPr>
          <w:rFonts w:hint="eastAsia" w:ascii="Times New Roman" w:eastAsia="仿宋"/>
          <w:color w:val="auto"/>
          <w:szCs w:val="28"/>
          <w:highlight w:val="none"/>
          <w:lang w:val="en-US" w:eastAsia="zh-CN"/>
        </w:rPr>
        <w:t>5020</w:t>
      </w:r>
      <w:r>
        <w:rPr>
          <w:rFonts w:hint="eastAsia" w:ascii="Times New Roman" w:eastAsia="仿宋"/>
          <w:color w:val="auto"/>
          <w:szCs w:val="28"/>
          <w:highlight w:val="none"/>
        </w:rPr>
        <w:t>%</w:t>
      </w:r>
      <w:r>
        <w:rPr>
          <w:rFonts w:hint="eastAsia" w:ascii="Times New Roman" w:eastAsia="仿宋"/>
          <w:color w:val="auto"/>
          <w:szCs w:val="28"/>
          <w:highlight w:val="none"/>
          <w:lang w:eastAsia="zh-CN"/>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2.现场会议出席情况</w:t>
      </w:r>
    </w:p>
    <w:p>
      <w:pPr>
        <w:spacing w:line="600" w:lineRule="exact"/>
        <w:ind w:firstLine="560" w:firstLineChars="200"/>
        <w:jc w:val="left"/>
        <w:rPr>
          <w:rFonts w:ascii="Times New Roman" w:eastAsia="仿宋"/>
          <w:color w:val="auto"/>
          <w:sz w:val="36"/>
          <w:szCs w:val="36"/>
          <w:highlight w:val="yellow"/>
        </w:rPr>
      </w:pPr>
      <w:r>
        <w:rPr>
          <w:rFonts w:ascii="Times New Roman" w:eastAsia="仿宋"/>
          <w:color w:val="auto"/>
          <w:szCs w:val="28"/>
          <w:highlight w:val="none"/>
        </w:rPr>
        <w:t>出席本次股东大会现场会议的股东及股东授权委托代表共</w:t>
      </w:r>
      <w:r>
        <w:rPr>
          <w:rFonts w:hint="eastAsia" w:ascii="Times New Roman" w:eastAsia="仿宋"/>
          <w:color w:val="auto"/>
          <w:szCs w:val="28"/>
          <w:highlight w:val="none"/>
          <w:lang w:val="en-US" w:eastAsia="zh-CN"/>
        </w:rPr>
        <w:t>7</w:t>
      </w:r>
      <w:r>
        <w:rPr>
          <w:rFonts w:ascii="Times New Roman" w:eastAsia="仿宋"/>
          <w:color w:val="auto"/>
          <w:szCs w:val="28"/>
          <w:highlight w:val="none"/>
        </w:rPr>
        <w:t>人，代表股份数量为</w:t>
      </w:r>
      <w:r>
        <w:rPr>
          <w:rFonts w:hint="eastAsia" w:ascii="Times New Roman" w:eastAsia="仿宋"/>
          <w:color w:val="auto"/>
          <w:szCs w:val="28"/>
          <w:highlight w:val="none"/>
        </w:rPr>
        <w:t>889,778,047</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31.8893%</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3.网络投票情况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参加本次股东大会网络投票的股东共</w:t>
      </w:r>
      <w:r>
        <w:rPr>
          <w:rFonts w:hint="eastAsia" w:ascii="Times New Roman" w:eastAsia="仿宋"/>
          <w:color w:val="auto"/>
          <w:szCs w:val="28"/>
          <w:highlight w:val="none"/>
          <w:lang w:val="en-US" w:eastAsia="zh-CN"/>
        </w:rPr>
        <w:t>27</w:t>
      </w:r>
      <w:r>
        <w:rPr>
          <w:rFonts w:ascii="Times New Roman" w:eastAsia="仿宋"/>
          <w:color w:val="auto"/>
          <w:szCs w:val="28"/>
          <w:highlight w:val="none"/>
        </w:rPr>
        <w:t>人，代表股份</w:t>
      </w:r>
      <w:r>
        <w:rPr>
          <w:rFonts w:hint="eastAsia" w:ascii="Times New Roman" w:eastAsia="仿宋"/>
          <w:color w:val="auto"/>
          <w:szCs w:val="28"/>
          <w:highlight w:val="none"/>
        </w:rPr>
        <w:t>17,095,556</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0.6127％</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4.其他人员出席情况</w:t>
      </w:r>
    </w:p>
    <w:p>
      <w:pPr>
        <w:spacing w:line="600" w:lineRule="exact"/>
        <w:ind w:firstLine="560" w:firstLineChars="200"/>
        <w:jc w:val="left"/>
        <w:rPr>
          <w:rFonts w:hint="eastAsia" w:ascii="Times New Roman" w:hAnsi="仿宋" w:eastAsia="仿宋"/>
          <w:color w:val="auto"/>
          <w:szCs w:val="28"/>
          <w:highlight w:val="none"/>
        </w:rPr>
      </w:pPr>
      <w:r>
        <w:rPr>
          <w:rFonts w:ascii="Times New Roman" w:eastAsia="仿宋"/>
          <w:color w:val="auto"/>
          <w:szCs w:val="28"/>
          <w:highlight w:val="none"/>
        </w:rPr>
        <w:t>公司董事、监事、高级管理人员</w:t>
      </w:r>
      <w:r>
        <w:rPr>
          <w:rFonts w:hint="eastAsia" w:ascii="Times New Roman" w:eastAsia="仿宋"/>
          <w:color w:val="auto"/>
          <w:szCs w:val="28"/>
          <w:highlight w:val="none"/>
          <w:lang w:val="en-US" w:eastAsia="zh-CN"/>
        </w:rPr>
        <w:t>以</w:t>
      </w:r>
      <w:r>
        <w:rPr>
          <w:rFonts w:hint="eastAsia" w:ascii="Times New Roman" w:eastAsia="仿宋"/>
          <w:color w:val="auto"/>
          <w:szCs w:val="28"/>
          <w:highlight w:val="none"/>
        </w:rPr>
        <w:t>现场</w:t>
      </w:r>
      <w:r>
        <w:rPr>
          <w:rFonts w:hint="eastAsia" w:ascii="Times New Roman" w:eastAsia="仿宋"/>
          <w:color w:val="auto"/>
          <w:szCs w:val="28"/>
          <w:highlight w:val="none"/>
          <w:lang w:val="en-US" w:eastAsia="zh-CN"/>
        </w:rPr>
        <w:t>和视频方式</w:t>
      </w:r>
      <w:r>
        <w:rPr>
          <w:rFonts w:hint="eastAsia" w:ascii="Times New Roman" w:eastAsia="仿宋"/>
          <w:color w:val="auto"/>
          <w:szCs w:val="28"/>
          <w:highlight w:val="none"/>
        </w:rPr>
        <w:t>列席了会议，</w:t>
      </w:r>
      <w:r>
        <w:rPr>
          <w:rFonts w:ascii="Times New Roman" w:eastAsia="仿宋"/>
          <w:color w:val="auto"/>
          <w:szCs w:val="28"/>
          <w:highlight w:val="none"/>
        </w:rPr>
        <w:t>公司法律顾问</w:t>
      </w:r>
      <w:r>
        <w:rPr>
          <w:rFonts w:hint="eastAsia" w:ascii="Times New Roman" w:eastAsia="仿宋"/>
          <w:color w:val="auto"/>
          <w:szCs w:val="28"/>
          <w:highlight w:val="none"/>
        </w:rPr>
        <w:t>出席了</w:t>
      </w:r>
      <w:r>
        <w:rPr>
          <w:rFonts w:ascii="Times New Roman" w:eastAsia="仿宋"/>
          <w:color w:val="auto"/>
          <w:szCs w:val="28"/>
          <w:highlight w:val="none"/>
        </w:rPr>
        <w:t>本次</w:t>
      </w:r>
      <w:r>
        <w:rPr>
          <w:rFonts w:hint="eastAsia" w:ascii="Times New Roman" w:eastAsia="仿宋"/>
          <w:color w:val="auto"/>
          <w:szCs w:val="28"/>
          <w:highlight w:val="none"/>
        </w:rPr>
        <w:t>股东大会，并对会议进行见证。</w:t>
      </w:r>
    </w:p>
    <w:p>
      <w:pPr>
        <w:spacing w:line="600" w:lineRule="exact"/>
        <w:ind w:left="560" w:leftChars="200"/>
        <w:jc w:val="left"/>
        <w:rPr>
          <w:rFonts w:ascii="Times New Roman" w:eastAsia="仿宋"/>
          <w:b/>
          <w:color w:val="auto"/>
          <w:szCs w:val="28"/>
          <w:highlight w:val="none"/>
        </w:rPr>
      </w:pPr>
      <w:r>
        <w:rPr>
          <w:rFonts w:ascii="Times New Roman" w:eastAsia="仿宋"/>
          <w:b/>
          <w:color w:val="auto"/>
          <w:szCs w:val="28"/>
          <w:highlight w:val="none"/>
        </w:rPr>
        <w:t>二、提案审议表决情况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（一）本次股东大会采取现场会议和网络投票相结合的方式召开，议案的表决结果是现场表决票和网络表决票的合计数字。</w:t>
      </w:r>
    </w:p>
    <w:p>
      <w:pPr>
        <w:spacing w:line="600" w:lineRule="exact"/>
        <w:ind w:firstLine="560" w:firstLineChars="200"/>
        <w:rPr>
          <w:rFonts w:ascii="Times New Roman" w:eastAsia="仿宋"/>
          <w:color w:val="auto"/>
          <w:szCs w:val="28"/>
          <w:highlight w:val="none"/>
        </w:rPr>
      </w:pPr>
      <w:r>
        <w:rPr>
          <w:rFonts w:hint="eastAsia" w:ascii="Times New Roman" w:eastAsia="仿宋"/>
          <w:color w:val="auto"/>
          <w:szCs w:val="28"/>
          <w:highlight w:val="none"/>
        </w:rPr>
        <w:t>（二）</w:t>
      </w:r>
      <w:r>
        <w:rPr>
          <w:rFonts w:ascii="Times New Roman" w:hAnsi="仿宋" w:eastAsia="仿宋"/>
          <w:color w:val="auto"/>
          <w:szCs w:val="28"/>
          <w:highlight w:val="none"/>
        </w:rPr>
        <w:t>本次会议以逐项记名投票表决方式审议通过了以下提案：</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w:t>
      </w:r>
      <w:r>
        <w:rPr>
          <w:rFonts w:hint="eastAsia" w:ascii="Times New Roman" w:eastAsia="仿宋"/>
          <w:b/>
          <w:color w:val="auto"/>
          <w:szCs w:val="28"/>
          <w:highlight w:val="none"/>
        </w:rPr>
        <w:t>关于投资建设山东潍坊风光储多能互补试点项目首批三期420兆瓦光伏项目的议案</w:t>
      </w:r>
      <w:r>
        <w:rPr>
          <w:rFonts w:ascii="Times New Roman" w:eastAsia="仿宋"/>
          <w:b/>
          <w:color w:val="auto"/>
          <w:szCs w:val="28"/>
          <w:highlight w:val="none"/>
        </w:rPr>
        <w:t>》</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表决情况：</w:t>
      </w: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（1）整体表决情况</w:t>
      </w:r>
    </w:p>
    <w:tbl>
      <w:tblPr>
        <w:tblStyle w:val="8"/>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44"/>
        <w:gridCol w:w="818"/>
        <w:gridCol w:w="804"/>
        <w:gridCol w:w="1203"/>
        <w:gridCol w:w="956"/>
        <w:gridCol w:w="1152"/>
        <w:gridCol w:w="1283"/>
        <w:gridCol w:w="93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296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311"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44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color w:val="auto"/>
                <w:sz w:val="21"/>
                <w:highlight w:val="none"/>
              </w:rPr>
            </w:pPr>
          </w:p>
        </w:tc>
        <w:tc>
          <w:tcPr>
            <w:tcW w:w="134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81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95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15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8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93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22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889,778,047</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12,406,244</w:t>
            </w:r>
          </w:p>
        </w:tc>
        <w:tc>
          <w:tcPr>
            <w:tcW w:w="9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172,500</w:t>
            </w:r>
          </w:p>
        </w:tc>
        <w:tc>
          <w:tcPr>
            <w:tcW w:w="115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4,516,812</w:t>
            </w:r>
          </w:p>
        </w:tc>
        <w:tc>
          <w:tcPr>
            <w:tcW w:w="128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902,184,291 </w:t>
            </w:r>
          </w:p>
        </w:tc>
        <w:tc>
          <w:tcPr>
            <w:tcW w:w="93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172,500 </w:t>
            </w:r>
          </w:p>
        </w:tc>
        <w:tc>
          <w:tcPr>
            <w:tcW w:w="122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4,516,812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34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81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04"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0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72.5700 </w:t>
            </w:r>
          </w:p>
        </w:tc>
        <w:tc>
          <w:tcPr>
            <w:tcW w:w="956"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1.0090 </w:t>
            </w:r>
          </w:p>
        </w:tc>
        <w:tc>
          <w:tcPr>
            <w:tcW w:w="115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26.4210 </w:t>
            </w:r>
          </w:p>
        </w:tc>
        <w:tc>
          <w:tcPr>
            <w:tcW w:w="128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99.4829 </w:t>
            </w:r>
          </w:p>
        </w:tc>
        <w:tc>
          <w:tcPr>
            <w:tcW w:w="93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0.0190 </w:t>
            </w:r>
          </w:p>
        </w:tc>
        <w:tc>
          <w:tcPr>
            <w:tcW w:w="122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0.4981 </w:t>
            </w:r>
          </w:p>
        </w:tc>
      </w:tr>
    </w:tbl>
    <w:p>
      <w:pPr>
        <w:spacing w:line="56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（2）中小股东表决情况（除持有5%以上的股东）</w:t>
      </w:r>
    </w:p>
    <w:tbl>
      <w:tblPr>
        <w:tblStyle w:val="8"/>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53"/>
        <w:gridCol w:w="717"/>
        <w:gridCol w:w="828"/>
        <w:gridCol w:w="1212"/>
        <w:gridCol w:w="1078"/>
        <w:gridCol w:w="1129"/>
        <w:gridCol w:w="1247"/>
        <w:gridCol w:w="949"/>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279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w:t>
            </w:r>
          </w:p>
        </w:tc>
        <w:tc>
          <w:tcPr>
            <w:tcW w:w="34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网络投票</w:t>
            </w:r>
          </w:p>
        </w:tc>
        <w:tc>
          <w:tcPr>
            <w:tcW w:w="337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p>
        </w:tc>
        <w:tc>
          <w:tcPr>
            <w:tcW w:w="125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7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8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107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1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c>
          <w:tcPr>
            <w:tcW w:w="12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同意</w:t>
            </w:r>
          </w:p>
        </w:tc>
        <w:tc>
          <w:tcPr>
            <w:tcW w:w="94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反对</w:t>
            </w:r>
          </w:p>
        </w:tc>
        <w:tc>
          <w:tcPr>
            <w:tcW w:w="118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股数(股)</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20,725.00 </w:t>
            </w:r>
          </w:p>
        </w:tc>
        <w:tc>
          <w:tcPr>
            <w:tcW w:w="71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12,406,244</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172,500</w:t>
            </w:r>
          </w:p>
        </w:tc>
        <w:tc>
          <w:tcPr>
            <w:tcW w:w="112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4,516,812</w:t>
            </w:r>
          </w:p>
        </w:tc>
        <w:tc>
          <w:tcPr>
            <w:tcW w:w="124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12,426,969 </w:t>
            </w:r>
          </w:p>
        </w:tc>
        <w:tc>
          <w:tcPr>
            <w:tcW w:w="94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172,500 </w:t>
            </w:r>
          </w:p>
        </w:tc>
        <w:tc>
          <w:tcPr>
            <w:tcW w:w="118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4,516,812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z w:val="21"/>
                <w:highlight w:val="none"/>
              </w:rPr>
            </w:pPr>
            <w:r>
              <w:rPr>
                <w:rFonts w:hint="default" w:ascii="Times New Roman" w:hAnsi="Times New Roman" w:eastAsia="仿宋" w:cs="Times New Roman"/>
                <w:color w:val="auto"/>
                <w:sz w:val="21"/>
                <w:highlight w:val="none"/>
              </w:rPr>
              <w:t>比例(%)</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100.00 </w:t>
            </w:r>
          </w:p>
        </w:tc>
        <w:tc>
          <w:tcPr>
            <w:tcW w:w="71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82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72.5700 </w:t>
            </w:r>
          </w:p>
        </w:tc>
        <w:tc>
          <w:tcPr>
            <w:tcW w:w="1078"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1.0090 </w:t>
            </w:r>
          </w:p>
        </w:tc>
        <w:tc>
          <w:tcPr>
            <w:tcW w:w="112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26.4210 </w:t>
            </w:r>
          </w:p>
        </w:tc>
        <w:tc>
          <w:tcPr>
            <w:tcW w:w="1247"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72.6032 </w:t>
            </w:r>
          </w:p>
        </w:tc>
        <w:tc>
          <w:tcPr>
            <w:tcW w:w="949"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1.0078 </w:t>
            </w:r>
          </w:p>
        </w:tc>
        <w:tc>
          <w:tcPr>
            <w:tcW w:w="1183"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color w:val="auto"/>
                <w:sz w:val="21"/>
                <w:highlight w:val="none"/>
                <w:lang w:val="en-US" w:eastAsia="zh-CN" w:bidi="ar"/>
              </w:rPr>
            </w:pPr>
            <w:r>
              <w:rPr>
                <w:rFonts w:hint="default" w:ascii="Times New Roman" w:hAnsi="Times New Roman" w:eastAsia="宋体" w:cs="Times New Roman"/>
                <w:color w:val="auto"/>
                <w:sz w:val="21"/>
                <w:highlight w:val="none"/>
                <w:lang w:val="en-US" w:eastAsia="zh-CN" w:bidi="ar"/>
              </w:rPr>
              <w:t xml:space="preserve">26.3890 </w:t>
            </w:r>
          </w:p>
        </w:tc>
      </w:tr>
    </w:tbl>
    <w:p>
      <w:pPr>
        <w:ind w:firstLine="560" w:firstLineChars="200"/>
        <w:rPr>
          <w:rFonts w:hint="eastAsia" w:ascii="Times New Roman" w:hAnsi="Times New Roman" w:eastAsia="仿宋" w:cs="Times New Roman"/>
          <w:sz w:val="28"/>
          <w:szCs w:val="28"/>
          <w:lang w:val="en-US" w:eastAsia="zh-CN"/>
        </w:rPr>
      </w:pPr>
      <w:r>
        <w:rPr>
          <w:rFonts w:ascii="Times New Roman" w:eastAsia="仿宋"/>
          <w:color w:val="auto"/>
          <w:szCs w:val="28"/>
          <w:highlight w:val="none"/>
        </w:rPr>
        <w:t>表决结果：通过了《</w:t>
      </w:r>
      <w:r>
        <w:rPr>
          <w:rFonts w:hint="eastAsia" w:ascii="Times New Roman" w:eastAsia="仿宋"/>
          <w:color w:val="auto"/>
          <w:szCs w:val="28"/>
          <w:highlight w:val="none"/>
        </w:rPr>
        <w:t>关于投资建设山东潍坊风光储多能互补试点项目首批三期420兆瓦光伏项目的议案</w:t>
      </w:r>
      <w:r>
        <w:rPr>
          <w:rFonts w:ascii="Times New Roman" w:eastAsia="仿宋"/>
          <w:color w:val="auto"/>
          <w:szCs w:val="28"/>
          <w:highlight w:val="none"/>
        </w:rPr>
        <w:t>》</w:t>
      </w:r>
      <w:r>
        <w:rPr>
          <w:rFonts w:hint="eastAsia" w:ascii="Times New Roman" w:eastAsia="仿宋"/>
          <w:color w:val="auto"/>
          <w:szCs w:val="28"/>
          <w:highlight w:val="none"/>
          <w:lang w:eastAsia="zh-CN"/>
        </w:rPr>
        <w:t>。</w:t>
      </w:r>
    </w:p>
    <w:p>
      <w:pPr>
        <w:spacing w:line="560" w:lineRule="exact"/>
        <w:ind w:firstLine="548" w:firstLineChars="196"/>
        <w:rPr>
          <w:rFonts w:ascii="Times New Roman" w:eastAsia="仿宋"/>
          <w:b/>
          <w:color w:val="auto"/>
          <w:szCs w:val="28"/>
          <w:highlight w:val="none"/>
        </w:rPr>
      </w:pPr>
      <w:r>
        <w:rPr>
          <w:rFonts w:ascii="Times New Roman" w:eastAsia="仿宋"/>
          <w:b/>
          <w:color w:val="auto"/>
          <w:szCs w:val="28"/>
          <w:highlight w:val="none"/>
        </w:rPr>
        <w:t>三、律师出具的法律意见</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1.律师事务所名称：北京市中咨律师事务所</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2.律师姓名：彭亚峰、刘晓航</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3.结论性意见：</w:t>
      </w:r>
    </w:p>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承办律师认为：公司本次股东大会的召集和召开程序、出席会议人员的资格、召集人资格及表决程序、表决结果等均符合法律、法规、其他规范性文件及公司章程的规定，会议形成的决议合法、有效。</w:t>
      </w:r>
    </w:p>
    <w:p>
      <w:pPr>
        <w:spacing w:line="560" w:lineRule="exact"/>
        <w:ind w:firstLine="640"/>
        <w:jc w:val="left"/>
        <w:rPr>
          <w:rFonts w:ascii="Times New Roman" w:eastAsia="仿宋"/>
          <w:b/>
          <w:bCs/>
          <w:color w:val="auto"/>
          <w:szCs w:val="28"/>
          <w:highlight w:val="none"/>
        </w:rPr>
      </w:pPr>
      <w:r>
        <w:rPr>
          <w:rFonts w:ascii="Times New Roman" w:eastAsia="仿宋"/>
          <w:b/>
          <w:bCs/>
          <w:color w:val="auto"/>
          <w:szCs w:val="28"/>
          <w:highlight w:val="none"/>
        </w:rPr>
        <w:t>四、备查文件</w:t>
      </w:r>
    </w:p>
    <w:p>
      <w:pPr>
        <w:spacing w:line="560" w:lineRule="exact"/>
        <w:ind w:firstLine="640"/>
        <w:jc w:val="left"/>
        <w:rPr>
          <w:rFonts w:ascii="Times New Roman" w:eastAsia="仿宋"/>
          <w:bCs/>
          <w:color w:val="auto"/>
          <w:szCs w:val="28"/>
          <w:highlight w:val="none"/>
        </w:rPr>
      </w:pPr>
      <w:r>
        <w:rPr>
          <w:rFonts w:ascii="Times New Roman" w:eastAsia="仿宋"/>
          <w:bCs/>
          <w:color w:val="auto"/>
          <w:szCs w:val="28"/>
          <w:highlight w:val="none"/>
        </w:rPr>
        <w:t>1.经与会董事和记录人签字确认并加盖董事会印章的股东大会决议；</w:t>
      </w:r>
    </w:p>
    <w:p>
      <w:pPr>
        <w:spacing w:line="560" w:lineRule="exact"/>
        <w:ind w:firstLine="640"/>
        <w:jc w:val="left"/>
        <w:rPr>
          <w:rFonts w:ascii="Times New Roman" w:eastAsia="仿宋"/>
          <w:color w:val="auto"/>
          <w:szCs w:val="28"/>
          <w:highlight w:val="none"/>
        </w:rPr>
      </w:pPr>
      <w:r>
        <w:rPr>
          <w:rFonts w:ascii="Times New Roman" w:eastAsia="仿宋"/>
          <w:bCs/>
          <w:color w:val="auto"/>
          <w:szCs w:val="28"/>
          <w:highlight w:val="none"/>
        </w:rPr>
        <w:t>2.法律意见书。</w:t>
      </w:r>
    </w:p>
    <w:p>
      <w:pPr>
        <w:spacing w:line="560" w:lineRule="exact"/>
        <w:ind w:firstLine="640"/>
        <w:jc w:val="left"/>
        <w:rPr>
          <w:rFonts w:ascii="Times New Roman" w:eastAsia="仿宋"/>
          <w:color w:val="auto"/>
          <w:szCs w:val="28"/>
          <w:highlight w:val="none"/>
        </w:rPr>
      </w:pPr>
    </w:p>
    <w:p>
      <w:pPr>
        <w:spacing w:line="560" w:lineRule="exact"/>
        <w:ind w:firstLine="640"/>
        <w:jc w:val="left"/>
        <w:rPr>
          <w:rFonts w:ascii="Times New Roman" w:eastAsia="仿宋"/>
          <w:color w:val="auto"/>
          <w:szCs w:val="28"/>
          <w:highlight w:val="none"/>
        </w:rPr>
      </w:pPr>
      <w:r>
        <w:rPr>
          <w:rFonts w:ascii="Times New Roman" w:eastAsia="仿宋"/>
          <w:color w:val="auto"/>
          <w:szCs w:val="28"/>
          <w:highlight w:val="none"/>
        </w:rPr>
        <w:t>特此公告。</w:t>
      </w: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r>
        <w:rPr>
          <w:rFonts w:ascii="Times New Roman" w:eastAsia="仿宋"/>
          <w:color w:val="auto"/>
          <w:szCs w:val="28"/>
          <w:highlight w:val="none"/>
        </w:rPr>
        <w:t>吉林电力股份有限公司董事会</w:t>
      </w:r>
    </w:p>
    <w:p>
      <w:pPr>
        <w:spacing w:line="560" w:lineRule="exact"/>
        <w:ind w:right="280" w:firstLine="640"/>
        <w:jc w:val="right"/>
        <w:rPr>
          <w:rFonts w:ascii="Times New Roman" w:eastAsia="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 w:val="24"/>
          <w:szCs w:val="24"/>
          <w:highlight w:val="none"/>
          <w:lang w:val="en-US" w:eastAsia="zh-CN"/>
        </w:rPr>
        <w:t>〇</w:t>
      </w: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六</w:t>
      </w:r>
      <w:r>
        <w:rPr>
          <w:rFonts w:hint="eastAsia" w:ascii="仿宋" w:hAnsi="仿宋" w:eastAsia="仿宋" w:cs="仿宋"/>
          <w:color w:val="auto"/>
          <w:szCs w:val="28"/>
          <w:highlight w:val="none"/>
        </w:rPr>
        <w:t>月十</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302F"/>
    <w:rsid w:val="000241D3"/>
    <w:rsid w:val="000325AF"/>
    <w:rsid w:val="00032BD8"/>
    <w:rsid w:val="00034654"/>
    <w:rsid w:val="00034933"/>
    <w:rsid w:val="000421E7"/>
    <w:rsid w:val="000501DC"/>
    <w:rsid w:val="00052AB7"/>
    <w:rsid w:val="00056AD3"/>
    <w:rsid w:val="00062371"/>
    <w:rsid w:val="000724E1"/>
    <w:rsid w:val="000763CC"/>
    <w:rsid w:val="00080C95"/>
    <w:rsid w:val="0009251D"/>
    <w:rsid w:val="00092E4D"/>
    <w:rsid w:val="00093E34"/>
    <w:rsid w:val="00095FFC"/>
    <w:rsid w:val="000961EE"/>
    <w:rsid w:val="000A455C"/>
    <w:rsid w:val="000A565C"/>
    <w:rsid w:val="000B033A"/>
    <w:rsid w:val="000B2C70"/>
    <w:rsid w:val="000B4646"/>
    <w:rsid w:val="000D2802"/>
    <w:rsid w:val="000E1599"/>
    <w:rsid w:val="000E4161"/>
    <w:rsid w:val="000F0F5F"/>
    <w:rsid w:val="00100B97"/>
    <w:rsid w:val="00101DB4"/>
    <w:rsid w:val="00115072"/>
    <w:rsid w:val="00116D95"/>
    <w:rsid w:val="00117340"/>
    <w:rsid w:val="0012204E"/>
    <w:rsid w:val="00130317"/>
    <w:rsid w:val="00147C15"/>
    <w:rsid w:val="00153C13"/>
    <w:rsid w:val="00160BEA"/>
    <w:rsid w:val="00173FFE"/>
    <w:rsid w:val="00176722"/>
    <w:rsid w:val="00191D68"/>
    <w:rsid w:val="001A0B07"/>
    <w:rsid w:val="001B2007"/>
    <w:rsid w:val="001C0E03"/>
    <w:rsid w:val="001D2DC4"/>
    <w:rsid w:val="001E5C4B"/>
    <w:rsid w:val="00200414"/>
    <w:rsid w:val="00205AF0"/>
    <w:rsid w:val="00207DAA"/>
    <w:rsid w:val="00214E8C"/>
    <w:rsid w:val="00215FE8"/>
    <w:rsid w:val="00220EF3"/>
    <w:rsid w:val="0023433B"/>
    <w:rsid w:val="00235071"/>
    <w:rsid w:val="00236F5C"/>
    <w:rsid w:val="00237C69"/>
    <w:rsid w:val="0024285A"/>
    <w:rsid w:val="00243D10"/>
    <w:rsid w:val="00245142"/>
    <w:rsid w:val="002515D7"/>
    <w:rsid w:val="00252792"/>
    <w:rsid w:val="00254F94"/>
    <w:rsid w:val="00255A31"/>
    <w:rsid w:val="00277C51"/>
    <w:rsid w:val="00293D70"/>
    <w:rsid w:val="002A0A9B"/>
    <w:rsid w:val="002A68E8"/>
    <w:rsid w:val="002B03AF"/>
    <w:rsid w:val="002B1B97"/>
    <w:rsid w:val="002B3ABB"/>
    <w:rsid w:val="002E5E21"/>
    <w:rsid w:val="002F3BDF"/>
    <w:rsid w:val="002F435E"/>
    <w:rsid w:val="003213A8"/>
    <w:rsid w:val="0032271E"/>
    <w:rsid w:val="0032728B"/>
    <w:rsid w:val="003273BF"/>
    <w:rsid w:val="003278DA"/>
    <w:rsid w:val="003328A8"/>
    <w:rsid w:val="00333528"/>
    <w:rsid w:val="00345507"/>
    <w:rsid w:val="00350A00"/>
    <w:rsid w:val="00352EDB"/>
    <w:rsid w:val="00362820"/>
    <w:rsid w:val="00382C66"/>
    <w:rsid w:val="003901DE"/>
    <w:rsid w:val="003A37FE"/>
    <w:rsid w:val="003B0130"/>
    <w:rsid w:val="003D3035"/>
    <w:rsid w:val="003E7E32"/>
    <w:rsid w:val="003F23BF"/>
    <w:rsid w:val="003F4268"/>
    <w:rsid w:val="003F623E"/>
    <w:rsid w:val="003F6AAB"/>
    <w:rsid w:val="00404AFC"/>
    <w:rsid w:val="0040676F"/>
    <w:rsid w:val="00417147"/>
    <w:rsid w:val="00420054"/>
    <w:rsid w:val="00435631"/>
    <w:rsid w:val="00440115"/>
    <w:rsid w:val="00443C0F"/>
    <w:rsid w:val="00445B82"/>
    <w:rsid w:val="0044607F"/>
    <w:rsid w:val="00455185"/>
    <w:rsid w:val="00466A7F"/>
    <w:rsid w:val="004731AF"/>
    <w:rsid w:val="004824CE"/>
    <w:rsid w:val="00490439"/>
    <w:rsid w:val="00492EB4"/>
    <w:rsid w:val="00493A34"/>
    <w:rsid w:val="004A4133"/>
    <w:rsid w:val="004A4FBC"/>
    <w:rsid w:val="004A5B20"/>
    <w:rsid w:val="004B052F"/>
    <w:rsid w:val="004B60DB"/>
    <w:rsid w:val="004D296B"/>
    <w:rsid w:val="004E280B"/>
    <w:rsid w:val="004E4C49"/>
    <w:rsid w:val="004E66EC"/>
    <w:rsid w:val="004E7918"/>
    <w:rsid w:val="004E7DC4"/>
    <w:rsid w:val="004F46C9"/>
    <w:rsid w:val="004F5D0A"/>
    <w:rsid w:val="00500CE2"/>
    <w:rsid w:val="005056AD"/>
    <w:rsid w:val="00510497"/>
    <w:rsid w:val="00515E9F"/>
    <w:rsid w:val="0051704E"/>
    <w:rsid w:val="00520F17"/>
    <w:rsid w:val="005401BD"/>
    <w:rsid w:val="005428F2"/>
    <w:rsid w:val="0054523E"/>
    <w:rsid w:val="00545494"/>
    <w:rsid w:val="005478BE"/>
    <w:rsid w:val="005544FF"/>
    <w:rsid w:val="00571190"/>
    <w:rsid w:val="0057660D"/>
    <w:rsid w:val="0058519E"/>
    <w:rsid w:val="005919B2"/>
    <w:rsid w:val="00591A38"/>
    <w:rsid w:val="00594E81"/>
    <w:rsid w:val="005957F8"/>
    <w:rsid w:val="00596A59"/>
    <w:rsid w:val="005A351D"/>
    <w:rsid w:val="005A673F"/>
    <w:rsid w:val="005A79F8"/>
    <w:rsid w:val="005B1160"/>
    <w:rsid w:val="005B3F7C"/>
    <w:rsid w:val="005C13DA"/>
    <w:rsid w:val="005C2B1F"/>
    <w:rsid w:val="005C5438"/>
    <w:rsid w:val="005F408C"/>
    <w:rsid w:val="005F5F8D"/>
    <w:rsid w:val="005F6639"/>
    <w:rsid w:val="005F758C"/>
    <w:rsid w:val="00614A64"/>
    <w:rsid w:val="00625FC9"/>
    <w:rsid w:val="00631F3B"/>
    <w:rsid w:val="00643444"/>
    <w:rsid w:val="00653748"/>
    <w:rsid w:val="00655424"/>
    <w:rsid w:val="0065650C"/>
    <w:rsid w:val="00661823"/>
    <w:rsid w:val="006644D8"/>
    <w:rsid w:val="006659E6"/>
    <w:rsid w:val="00671380"/>
    <w:rsid w:val="00686EBA"/>
    <w:rsid w:val="00687ADB"/>
    <w:rsid w:val="00691DF1"/>
    <w:rsid w:val="00694787"/>
    <w:rsid w:val="00697126"/>
    <w:rsid w:val="00697424"/>
    <w:rsid w:val="006A4AF3"/>
    <w:rsid w:val="006A52DD"/>
    <w:rsid w:val="006B5026"/>
    <w:rsid w:val="006C475E"/>
    <w:rsid w:val="006D2950"/>
    <w:rsid w:val="006D3CCF"/>
    <w:rsid w:val="006D3D9A"/>
    <w:rsid w:val="006D5C62"/>
    <w:rsid w:val="006E2631"/>
    <w:rsid w:val="006E520E"/>
    <w:rsid w:val="006F0BAB"/>
    <w:rsid w:val="006F7570"/>
    <w:rsid w:val="00706D91"/>
    <w:rsid w:val="007075B9"/>
    <w:rsid w:val="0071406F"/>
    <w:rsid w:val="00717782"/>
    <w:rsid w:val="00735A5D"/>
    <w:rsid w:val="00744485"/>
    <w:rsid w:val="00751DF4"/>
    <w:rsid w:val="007568AE"/>
    <w:rsid w:val="0077374F"/>
    <w:rsid w:val="00773A3F"/>
    <w:rsid w:val="00774578"/>
    <w:rsid w:val="00774C13"/>
    <w:rsid w:val="007806CE"/>
    <w:rsid w:val="0078788C"/>
    <w:rsid w:val="00795B47"/>
    <w:rsid w:val="00796618"/>
    <w:rsid w:val="007B4B8A"/>
    <w:rsid w:val="007C30C7"/>
    <w:rsid w:val="007D605A"/>
    <w:rsid w:val="007E2545"/>
    <w:rsid w:val="007E7F07"/>
    <w:rsid w:val="007F3628"/>
    <w:rsid w:val="0081342B"/>
    <w:rsid w:val="008174BB"/>
    <w:rsid w:val="00824B48"/>
    <w:rsid w:val="00825816"/>
    <w:rsid w:val="00826AD7"/>
    <w:rsid w:val="0084149D"/>
    <w:rsid w:val="0084509C"/>
    <w:rsid w:val="008527E1"/>
    <w:rsid w:val="008625FA"/>
    <w:rsid w:val="008723AD"/>
    <w:rsid w:val="00877024"/>
    <w:rsid w:val="00882898"/>
    <w:rsid w:val="00883C17"/>
    <w:rsid w:val="00886EE8"/>
    <w:rsid w:val="00891378"/>
    <w:rsid w:val="00894FD3"/>
    <w:rsid w:val="008A5C02"/>
    <w:rsid w:val="008B62AC"/>
    <w:rsid w:val="008B7B5F"/>
    <w:rsid w:val="008C4CBB"/>
    <w:rsid w:val="008D5655"/>
    <w:rsid w:val="008E272C"/>
    <w:rsid w:val="008E53F1"/>
    <w:rsid w:val="008E6EA9"/>
    <w:rsid w:val="008F7C4A"/>
    <w:rsid w:val="00900A65"/>
    <w:rsid w:val="00905D26"/>
    <w:rsid w:val="00922BF9"/>
    <w:rsid w:val="009413AA"/>
    <w:rsid w:val="00944D20"/>
    <w:rsid w:val="00955E04"/>
    <w:rsid w:val="00956AB6"/>
    <w:rsid w:val="00957550"/>
    <w:rsid w:val="00972B08"/>
    <w:rsid w:val="00976AC5"/>
    <w:rsid w:val="00977906"/>
    <w:rsid w:val="009806CC"/>
    <w:rsid w:val="009829AE"/>
    <w:rsid w:val="0098658B"/>
    <w:rsid w:val="00987470"/>
    <w:rsid w:val="00991C14"/>
    <w:rsid w:val="00997C4A"/>
    <w:rsid w:val="009A505A"/>
    <w:rsid w:val="009B182B"/>
    <w:rsid w:val="009B5FE8"/>
    <w:rsid w:val="009C0790"/>
    <w:rsid w:val="009C4DAC"/>
    <w:rsid w:val="009E054F"/>
    <w:rsid w:val="009E332E"/>
    <w:rsid w:val="009F38B9"/>
    <w:rsid w:val="00A006F9"/>
    <w:rsid w:val="00A041CF"/>
    <w:rsid w:val="00A10EC2"/>
    <w:rsid w:val="00A12C52"/>
    <w:rsid w:val="00A2117A"/>
    <w:rsid w:val="00A32DF6"/>
    <w:rsid w:val="00A445E2"/>
    <w:rsid w:val="00A47094"/>
    <w:rsid w:val="00A63910"/>
    <w:rsid w:val="00A67F20"/>
    <w:rsid w:val="00A706E6"/>
    <w:rsid w:val="00A72125"/>
    <w:rsid w:val="00A73D48"/>
    <w:rsid w:val="00A86A94"/>
    <w:rsid w:val="00A92155"/>
    <w:rsid w:val="00A9359F"/>
    <w:rsid w:val="00A941D0"/>
    <w:rsid w:val="00A954AE"/>
    <w:rsid w:val="00AB616F"/>
    <w:rsid w:val="00AB69A5"/>
    <w:rsid w:val="00AD155B"/>
    <w:rsid w:val="00AF0F97"/>
    <w:rsid w:val="00B10DC0"/>
    <w:rsid w:val="00B12A86"/>
    <w:rsid w:val="00B238C5"/>
    <w:rsid w:val="00B24DDE"/>
    <w:rsid w:val="00B25E99"/>
    <w:rsid w:val="00B30498"/>
    <w:rsid w:val="00B33D30"/>
    <w:rsid w:val="00B36393"/>
    <w:rsid w:val="00B478D6"/>
    <w:rsid w:val="00B567C2"/>
    <w:rsid w:val="00B61B56"/>
    <w:rsid w:val="00B7350A"/>
    <w:rsid w:val="00B84FEC"/>
    <w:rsid w:val="00B956FB"/>
    <w:rsid w:val="00BA1B6A"/>
    <w:rsid w:val="00BA2BA7"/>
    <w:rsid w:val="00BA3717"/>
    <w:rsid w:val="00BA4FFE"/>
    <w:rsid w:val="00BA6379"/>
    <w:rsid w:val="00BB061C"/>
    <w:rsid w:val="00BB687E"/>
    <w:rsid w:val="00BF2313"/>
    <w:rsid w:val="00C06E83"/>
    <w:rsid w:val="00C133EA"/>
    <w:rsid w:val="00C13D41"/>
    <w:rsid w:val="00C15CC7"/>
    <w:rsid w:val="00C1665A"/>
    <w:rsid w:val="00C30D92"/>
    <w:rsid w:val="00C32FDF"/>
    <w:rsid w:val="00C35F5E"/>
    <w:rsid w:val="00C401A2"/>
    <w:rsid w:val="00C448CD"/>
    <w:rsid w:val="00C47BDF"/>
    <w:rsid w:val="00C531BD"/>
    <w:rsid w:val="00C543F1"/>
    <w:rsid w:val="00C6065E"/>
    <w:rsid w:val="00C606A8"/>
    <w:rsid w:val="00C734B4"/>
    <w:rsid w:val="00C814D1"/>
    <w:rsid w:val="00CB5E61"/>
    <w:rsid w:val="00CD23C9"/>
    <w:rsid w:val="00CE792F"/>
    <w:rsid w:val="00CF5816"/>
    <w:rsid w:val="00D059C9"/>
    <w:rsid w:val="00D136ED"/>
    <w:rsid w:val="00D17D71"/>
    <w:rsid w:val="00D22505"/>
    <w:rsid w:val="00D25718"/>
    <w:rsid w:val="00D26B0A"/>
    <w:rsid w:val="00D34A28"/>
    <w:rsid w:val="00D35AD1"/>
    <w:rsid w:val="00D42353"/>
    <w:rsid w:val="00D46D21"/>
    <w:rsid w:val="00D54312"/>
    <w:rsid w:val="00D56998"/>
    <w:rsid w:val="00D64BD2"/>
    <w:rsid w:val="00D679AC"/>
    <w:rsid w:val="00D7520D"/>
    <w:rsid w:val="00D852B7"/>
    <w:rsid w:val="00DA626C"/>
    <w:rsid w:val="00DB1B91"/>
    <w:rsid w:val="00DB3D22"/>
    <w:rsid w:val="00DB3D7F"/>
    <w:rsid w:val="00DB5C0F"/>
    <w:rsid w:val="00DD06BB"/>
    <w:rsid w:val="00DE58BB"/>
    <w:rsid w:val="00DF1555"/>
    <w:rsid w:val="00DF1B07"/>
    <w:rsid w:val="00DF2B85"/>
    <w:rsid w:val="00DF393B"/>
    <w:rsid w:val="00E13259"/>
    <w:rsid w:val="00E22E13"/>
    <w:rsid w:val="00E31D35"/>
    <w:rsid w:val="00E354A5"/>
    <w:rsid w:val="00E409E5"/>
    <w:rsid w:val="00E41413"/>
    <w:rsid w:val="00E45B71"/>
    <w:rsid w:val="00E47611"/>
    <w:rsid w:val="00E510FD"/>
    <w:rsid w:val="00E60D18"/>
    <w:rsid w:val="00E6797B"/>
    <w:rsid w:val="00E67C5A"/>
    <w:rsid w:val="00E838F6"/>
    <w:rsid w:val="00E85039"/>
    <w:rsid w:val="00E90219"/>
    <w:rsid w:val="00EA31BC"/>
    <w:rsid w:val="00EA5C5C"/>
    <w:rsid w:val="00EB05AD"/>
    <w:rsid w:val="00EB6E11"/>
    <w:rsid w:val="00EC4BFF"/>
    <w:rsid w:val="00ED0FE4"/>
    <w:rsid w:val="00ED2A4D"/>
    <w:rsid w:val="00EE3E27"/>
    <w:rsid w:val="00EE4CE0"/>
    <w:rsid w:val="00EE5393"/>
    <w:rsid w:val="00EF26EB"/>
    <w:rsid w:val="00EF48B7"/>
    <w:rsid w:val="00F01EF0"/>
    <w:rsid w:val="00F02FC5"/>
    <w:rsid w:val="00F04C83"/>
    <w:rsid w:val="00F079FD"/>
    <w:rsid w:val="00F2220D"/>
    <w:rsid w:val="00F2271A"/>
    <w:rsid w:val="00F305A2"/>
    <w:rsid w:val="00F34595"/>
    <w:rsid w:val="00F46928"/>
    <w:rsid w:val="00F62652"/>
    <w:rsid w:val="00F63044"/>
    <w:rsid w:val="00F65CDC"/>
    <w:rsid w:val="00F70D43"/>
    <w:rsid w:val="00F81753"/>
    <w:rsid w:val="00F83A07"/>
    <w:rsid w:val="00FB079F"/>
    <w:rsid w:val="00FB52EA"/>
    <w:rsid w:val="00FB6A43"/>
    <w:rsid w:val="00FE6DD1"/>
    <w:rsid w:val="00FF5F6F"/>
    <w:rsid w:val="01764298"/>
    <w:rsid w:val="02495247"/>
    <w:rsid w:val="02796F68"/>
    <w:rsid w:val="02C16675"/>
    <w:rsid w:val="033B6E7D"/>
    <w:rsid w:val="041013E1"/>
    <w:rsid w:val="05320B6A"/>
    <w:rsid w:val="05C94D77"/>
    <w:rsid w:val="05F67490"/>
    <w:rsid w:val="07113235"/>
    <w:rsid w:val="07443DB1"/>
    <w:rsid w:val="084D5B1D"/>
    <w:rsid w:val="087B10F6"/>
    <w:rsid w:val="08BF38BF"/>
    <w:rsid w:val="090202D3"/>
    <w:rsid w:val="0B2D352A"/>
    <w:rsid w:val="0B6D50FA"/>
    <w:rsid w:val="0B975FCC"/>
    <w:rsid w:val="0CCD3324"/>
    <w:rsid w:val="0CE623EF"/>
    <w:rsid w:val="0D0909BA"/>
    <w:rsid w:val="0E5E5540"/>
    <w:rsid w:val="0E6C207D"/>
    <w:rsid w:val="0EE35058"/>
    <w:rsid w:val="0EF10876"/>
    <w:rsid w:val="0F0C3551"/>
    <w:rsid w:val="0F8220FA"/>
    <w:rsid w:val="11231633"/>
    <w:rsid w:val="11630D8D"/>
    <w:rsid w:val="11D023BF"/>
    <w:rsid w:val="12745F31"/>
    <w:rsid w:val="13037207"/>
    <w:rsid w:val="13494DFC"/>
    <w:rsid w:val="13602B08"/>
    <w:rsid w:val="14440BF3"/>
    <w:rsid w:val="16322E06"/>
    <w:rsid w:val="177E19AB"/>
    <w:rsid w:val="17FB48E2"/>
    <w:rsid w:val="18B45C9C"/>
    <w:rsid w:val="1A2719E4"/>
    <w:rsid w:val="1A7C11FF"/>
    <w:rsid w:val="1A941F3E"/>
    <w:rsid w:val="1B542D7A"/>
    <w:rsid w:val="1B9466BE"/>
    <w:rsid w:val="1E99430F"/>
    <w:rsid w:val="1F9C0EED"/>
    <w:rsid w:val="1FD223B2"/>
    <w:rsid w:val="1FFF2205"/>
    <w:rsid w:val="21A6749D"/>
    <w:rsid w:val="221A56D4"/>
    <w:rsid w:val="22475C84"/>
    <w:rsid w:val="234D06B2"/>
    <w:rsid w:val="23866614"/>
    <w:rsid w:val="247D1150"/>
    <w:rsid w:val="24FD103B"/>
    <w:rsid w:val="253F05F7"/>
    <w:rsid w:val="25D05970"/>
    <w:rsid w:val="261417DA"/>
    <w:rsid w:val="26541E50"/>
    <w:rsid w:val="278F13FA"/>
    <w:rsid w:val="27903B1C"/>
    <w:rsid w:val="298F6A63"/>
    <w:rsid w:val="299332F5"/>
    <w:rsid w:val="29B87076"/>
    <w:rsid w:val="2A1C5DF0"/>
    <w:rsid w:val="2A367A9E"/>
    <w:rsid w:val="2A5A35B6"/>
    <w:rsid w:val="2A5B7017"/>
    <w:rsid w:val="2A876238"/>
    <w:rsid w:val="2AFD0B6C"/>
    <w:rsid w:val="2BAB7745"/>
    <w:rsid w:val="2BC07154"/>
    <w:rsid w:val="2E1F33EC"/>
    <w:rsid w:val="2E3203BB"/>
    <w:rsid w:val="2F0B154A"/>
    <w:rsid w:val="2F4C2585"/>
    <w:rsid w:val="30A440D4"/>
    <w:rsid w:val="30E03899"/>
    <w:rsid w:val="31942D71"/>
    <w:rsid w:val="31AF219B"/>
    <w:rsid w:val="32E41118"/>
    <w:rsid w:val="33830AE3"/>
    <w:rsid w:val="3389522A"/>
    <w:rsid w:val="339E533B"/>
    <w:rsid w:val="34AB41EF"/>
    <w:rsid w:val="359F4EE3"/>
    <w:rsid w:val="35B94D23"/>
    <w:rsid w:val="35CA76E4"/>
    <w:rsid w:val="37B63D79"/>
    <w:rsid w:val="3840674A"/>
    <w:rsid w:val="384D38EC"/>
    <w:rsid w:val="39CE1CFC"/>
    <w:rsid w:val="3A1A4DDC"/>
    <w:rsid w:val="3A616898"/>
    <w:rsid w:val="3B097CC8"/>
    <w:rsid w:val="3C243228"/>
    <w:rsid w:val="3D797FA6"/>
    <w:rsid w:val="3D9E1CF8"/>
    <w:rsid w:val="3EE33765"/>
    <w:rsid w:val="3F3746A5"/>
    <w:rsid w:val="3F3D31A6"/>
    <w:rsid w:val="40367E44"/>
    <w:rsid w:val="403E69E2"/>
    <w:rsid w:val="403F3594"/>
    <w:rsid w:val="41FB150A"/>
    <w:rsid w:val="42E06EDC"/>
    <w:rsid w:val="43226EA0"/>
    <w:rsid w:val="44A23DB0"/>
    <w:rsid w:val="459E299E"/>
    <w:rsid w:val="45F12667"/>
    <w:rsid w:val="46152C69"/>
    <w:rsid w:val="46A53BDE"/>
    <w:rsid w:val="48131866"/>
    <w:rsid w:val="482B4E66"/>
    <w:rsid w:val="49C70A0E"/>
    <w:rsid w:val="4A05330E"/>
    <w:rsid w:val="4A2867F5"/>
    <w:rsid w:val="4A6B799C"/>
    <w:rsid w:val="4B335935"/>
    <w:rsid w:val="4BFF6BD4"/>
    <w:rsid w:val="4C33281D"/>
    <w:rsid w:val="4C6038EA"/>
    <w:rsid w:val="4CD568D6"/>
    <w:rsid w:val="4CFA6E65"/>
    <w:rsid w:val="4D9841C0"/>
    <w:rsid w:val="4E46308D"/>
    <w:rsid w:val="4FE70661"/>
    <w:rsid w:val="503D68E9"/>
    <w:rsid w:val="512F7E20"/>
    <w:rsid w:val="51DD49D4"/>
    <w:rsid w:val="52162321"/>
    <w:rsid w:val="53897517"/>
    <w:rsid w:val="53B17A9A"/>
    <w:rsid w:val="53C0377C"/>
    <w:rsid w:val="53FA0B42"/>
    <w:rsid w:val="54512F6A"/>
    <w:rsid w:val="556A776D"/>
    <w:rsid w:val="56F560F1"/>
    <w:rsid w:val="578953F6"/>
    <w:rsid w:val="585C3454"/>
    <w:rsid w:val="5982398B"/>
    <w:rsid w:val="59F46363"/>
    <w:rsid w:val="5A5A6326"/>
    <w:rsid w:val="5AC71CFE"/>
    <w:rsid w:val="5BA030EC"/>
    <w:rsid w:val="5BCE1E62"/>
    <w:rsid w:val="5C606002"/>
    <w:rsid w:val="5C87586C"/>
    <w:rsid w:val="5CD909A0"/>
    <w:rsid w:val="5CE609DA"/>
    <w:rsid w:val="5E007244"/>
    <w:rsid w:val="5E656FE5"/>
    <w:rsid w:val="5EE94178"/>
    <w:rsid w:val="5F1B5515"/>
    <w:rsid w:val="5F74592B"/>
    <w:rsid w:val="5FC375BE"/>
    <w:rsid w:val="5FF046C4"/>
    <w:rsid w:val="60232CD0"/>
    <w:rsid w:val="604D4532"/>
    <w:rsid w:val="605E03FB"/>
    <w:rsid w:val="60652495"/>
    <w:rsid w:val="626952A3"/>
    <w:rsid w:val="634575DE"/>
    <w:rsid w:val="64ED064C"/>
    <w:rsid w:val="65BB15C9"/>
    <w:rsid w:val="661014EE"/>
    <w:rsid w:val="66B14DC1"/>
    <w:rsid w:val="673431B9"/>
    <w:rsid w:val="67992086"/>
    <w:rsid w:val="68B50AE3"/>
    <w:rsid w:val="68C639F2"/>
    <w:rsid w:val="6AC17EF0"/>
    <w:rsid w:val="6B4017E9"/>
    <w:rsid w:val="6B590CE7"/>
    <w:rsid w:val="6B796B3C"/>
    <w:rsid w:val="6BDC1EC2"/>
    <w:rsid w:val="6C1E24CF"/>
    <w:rsid w:val="6C3A24A5"/>
    <w:rsid w:val="6C6674D7"/>
    <w:rsid w:val="6D600FB1"/>
    <w:rsid w:val="6D841735"/>
    <w:rsid w:val="6DB412A0"/>
    <w:rsid w:val="6E380E1F"/>
    <w:rsid w:val="6E3C540B"/>
    <w:rsid w:val="6EF23C35"/>
    <w:rsid w:val="6F2A7137"/>
    <w:rsid w:val="709D7BEE"/>
    <w:rsid w:val="71BD2F77"/>
    <w:rsid w:val="721E2EEB"/>
    <w:rsid w:val="729C1A78"/>
    <w:rsid w:val="72AB0CCE"/>
    <w:rsid w:val="73001F6C"/>
    <w:rsid w:val="73ED338F"/>
    <w:rsid w:val="750C1539"/>
    <w:rsid w:val="753757DB"/>
    <w:rsid w:val="75832401"/>
    <w:rsid w:val="75AD5B28"/>
    <w:rsid w:val="75EE5AC0"/>
    <w:rsid w:val="760E2046"/>
    <w:rsid w:val="762F485B"/>
    <w:rsid w:val="768C680C"/>
    <w:rsid w:val="7786320D"/>
    <w:rsid w:val="78233E9E"/>
    <w:rsid w:val="79210969"/>
    <w:rsid w:val="798423AA"/>
    <w:rsid w:val="79C1586A"/>
    <w:rsid w:val="79CA7F61"/>
    <w:rsid w:val="7A4F6913"/>
    <w:rsid w:val="7A7B04E0"/>
    <w:rsid w:val="7AB54B62"/>
    <w:rsid w:val="7C483A99"/>
    <w:rsid w:val="7D6F715D"/>
    <w:rsid w:val="7D7809E9"/>
    <w:rsid w:val="7D873BFF"/>
    <w:rsid w:val="7E7549E3"/>
    <w:rsid w:val="7EC76875"/>
    <w:rsid w:val="7F2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10">
    <w:name w:val="Default Paragraph Font"/>
    <w:link w:val="11"/>
    <w:semiHidden/>
    <w:qFormat/>
    <w:uiPriority w:val="0"/>
    <w:rPr>
      <w:rFonts w:ascii="Tahoma" w:hAnsi="Tahoma"/>
      <w:sz w:val="24"/>
      <w:szCs w:val="20"/>
    </w:rPr>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3">
    <w:name w:val="Body Text Indent"/>
    <w:basedOn w:val="1"/>
    <w:next w:val="1"/>
    <w:link w:val="15"/>
    <w:autoRedefine/>
    <w:qFormat/>
    <w:uiPriority w:val="0"/>
    <w:pPr>
      <w:spacing w:after="120" w:afterLines="0" w:afterAutospacing="0"/>
      <w:ind w:left="420" w:leftChars="200"/>
    </w:pPr>
  </w:style>
  <w:style w:type="paragraph" w:styleId="4">
    <w:name w:val="Balloon Text"/>
    <w:basedOn w:val="1"/>
    <w:link w:val="16"/>
    <w:autoRedefine/>
    <w:semiHidden/>
    <w:qFormat/>
    <w:uiPriority w:val="0"/>
    <w:rPr>
      <w:sz w:val="18"/>
      <w:szCs w:val="18"/>
    </w:rPr>
  </w:style>
  <w:style w:type="paragraph" w:styleId="5">
    <w:name w:val="footer"/>
    <w:basedOn w:val="1"/>
    <w:link w:val="17"/>
    <w:autoRedefine/>
    <w:qFormat/>
    <w:uiPriority w:val="0"/>
    <w:pPr>
      <w:tabs>
        <w:tab w:val="center" w:pos="4153"/>
        <w:tab w:val="right" w:pos="8306"/>
      </w:tabs>
      <w:snapToGrid w:val="0"/>
      <w:jc w:val="left"/>
    </w:pPr>
    <w:rPr>
      <w:sz w:val="18"/>
      <w:szCs w:val="18"/>
    </w:rPr>
  </w:style>
  <w:style w:type="paragraph" w:styleId="6">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ind w:firstLine="420" w:firstLineChars="200"/>
    </w:pPr>
    <w:rPr>
      <w:rFonts w:ascii="Times New Roman" w:hAnsi="Times New Roma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9"/>
    <w:basedOn w:val="1"/>
    <w:link w:val="10"/>
    <w:autoRedefine/>
    <w:qFormat/>
    <w:uiPriority w:val="0"/>
    <w:rPr>
      <w:rFonts w:ascii="Tahoma" w:hAnsi="Tahoma" w:eastAsia="Times New Roman"/>
      <w:color w:val="auto"/>
      <w:sz w:val="24"/>
      <w:szCs w:val="20"/>
    </w:rPr>
  </w:style>
  <w:style w:type="character" w:styleId="12">
    <w:name w:val="page number"/>
    <w:autoRedefine/>
    <w:qFormat/>
    <w:uiPriority w:val="0"/>
  </w:style>
  <w:style w:type="character" w:styleId="13">
    <w:name w:val="FollowedHyperlink"/>
    <w:autoRedefine/>
    <w:unhideWhenUsed/>
    <w:qFormat/>
    <w:uiPriority w:val="99"/>
    <w:rPr>
      <w:rFonts w:ascii="Tahoma" w:hAnsi="Tahoma"/>
      <w:color w:val="954F72"/>
      <w:sz w:val="24"/>
      <w:szCs w:val="20"/>
      <w:u w:val="single"/>
    </w:rPr>
  </w:style>
  <w:style w:type="character" w:styleId="14">
    <w:name w:val="Hyperlink"/>
    <w:autoRedefine/>
    <w:qFormat/>
    <w:uiPriority w:val="0"/>
    <w:rPr>
      <w:color w:val="0000FF"/>
      <w:u w:val="single"/>
    </w:rPr>
  </w:style>
  <w:style w:type="character" w:customStyle="1" w:styleId="15">
    <w:name w:val="正文文本缩进 字符"/>
    <w:link w:val="3"/>
    <w:autoRedefine/>
    <w:qFormat/>
    <w:uiPriority w:val="0"/>
    <w:rPr>
      <w:rFonts w:hint="default" w:ascii="Calibri" w:hAnsi="Calibri" w:cs="Calibri"/>
      <w:kern w:val="2"/>
      <w:sz w:val="21"/>
      <w:szCs w:val="21"/>
    </w:rPr>
  </w:style>
  <w:style w:type="character" w:customStyle="1" w:styleId="16">
    <w:name w:val="批注框文本 字符"/>
    <w:link w:val="4"/>
    <w:autoRedefine/>
    <w:semiHidden/>
    <w:qFormat/>
    <w:uiPriority w:val="0"/>
    <w:rPr>
      <w:rFonts w:ascii="仿宋_GB2312" w:eastAsia="仿宋_GB2312"/>
      <w:color w:val="000000"/>
      <w:sz w:val="18"/>
      <w:szCs w:val="18"/>
    </w:rPr>
  </w:style>
  <w:style w:type="character" w:customStyle="1" w:styleId="17">
    <w:name w:val="页脚 字符"/>
    <w:link w:val="5"/>
    <w:autoRedefine/>
    <w:qFormat/>
    <w:uiPriority w:val="0"/>
    <w:rPr>
      <w:rFonts w:ascii="仿宋_GB2312" w:eastAsia="仿宋_GB2312"/>
      <w:color w:val="000000"/>
      <w:sz w:val="18"/>
      <w:szCs w:val="18"/>
    </w:rPr>
  </w:style>
  <w:style w:type="character" w:customStyle="1" w:styleId="18">
    <w:name w:val="页眉 字符"/>
    <w:link w:val="6"/>
    <w:autoRedefine/>
    <w:qFormat/>
    <w:uiPriority w:val="0"/>
    <w:rPr>
      <w:rFonts w:ascii="仿宋_GB2312" w:eastAsia="仿宋_GB2312"/>
      <w:color w:val="000000"/>
      <w:sz w:val="18"/>
      <w:szCs w:val="18"/>
    </w:rPr>
  </w:style>
  <w:style w:type="character" w:customStyle="1" w:styleId="19">
    <w:name w:val="da1"/>
    <w:autoRedefine/>
    <w:qFormat/>
    <w:uiPriority w:val="0"/>
    <w:rPr>
      <w:rFonts w:ascii="_x000B__x000C_" w:hAnsi="_x000B__x000C_"/>
      <w:strike/>
      <w:spacing w:val="360"/>
      <w:sz w:val="21"/>
      <w:u w:val="none"/>
    </w:rPr>
  </w:style>
  <w:style w:type="character" w:customStyle="1" w:styleId="20">
    <w:name w:val="font11"/>
    <w:autoRedefine/>
    <w:qFormat/>
    <w:uiPriority w:val="0"/>
    <w:rPr>
      <w:rFonts w:hint="default" w:ascii="Times New Roman" w:hAnsi="Times New Roman" w:cs="Times New Roman"/>
      <w:color w:val="000000"/>
      <w:sz w:val="21"/>
      <w:szCs w:val="21"/>
      <w:u w:val="none"/>
    </w:rPr>
  </w:style>
  <w:style w:type="character" w:customStyle="1" w:styleId="21">
    <w:name w:val="正文文本首行缩进 2 字符"/>
    <w:autoRedefine/>
    <w:qFormat/>
    <w:uiPriority w:val="0"/>
    <w:rPr>
      <w:rFonts w:hint="default" w:ascii="Calibri" w:hAnsi="Calibri" w:cs="Calibri"/>
      <w:kern w:val="2"/>
      <w:sz w:val="21"/>
      <w:szCs w:val="21"/>
    </w:rPr>
  </w:style>
  <w:style w:type="paragraph" w:customStyle="1" w:styleId="22">
    <w:name w:val="Char Char Char Char"/>
    <w:basedOn w:val="1"/>
    <w:autoRedefine/>
    <w:qFormat/>
    <w:uiPriority w:val="0"/>
    <w:rPr>
      <w:rFonts w:ascii="Times New Roman" w:eastAsia="宋体"/>
      <w:color w:val="auto"/>
      <w:kern w:val="2"/>
      <w:sz w:val="21"/>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样式 首行缩进:  0.99 厘米"/>
    <w:basedOn w:val="1"/>
    <w:autoRedefine/>
    <w:qFormat/>
    <w:uiPriority w:val="0"/>
    <w:pPr>
      <w:spacing w:line="360" w:lineRule="auto"/>
      <w:ind w:firstLine="560"/>
    </w:pPr>
    <w:rPr>
      <w:rFonts w:ascii="Times New Roman" w:cs="宋体"/>
      <w:color w:val="auto"/>
      <w:szCs w:val="20"/>
    </w:rPr>
  </w:style>
  <w:style w:type="paragraph" w:customStyle="1" w:styleId="25">
    <w:name w:val="Char Char Char Char Char Char Char"/>
    <w:basedOn w:val="1"/>
    <w:autoRedefine/>
    <w:qFormat/>
    <w:uiPriority w:val="0"/>
    <w:rPr>
      <w:rFonts w:ascii="Times New Roman" w:eastAsia="宋体"/>
      <w:color w:val="auto"/>
      <w:kern w:val="2"/>
      <w:sz w:val="21"/>
      <w:szCs w:val="24"/>
    </w:rPr>
  </w:style>
  <w:style w:type="paragraph" w:customStyle="1" w:styleId="26">
    <w:name w:val="Char Char Char Char Char Char Char Char Char Char Char Char Char"/>
    <w:basedOn w:val="1"/>
    <w:autoRedefine/>
    <w:qFormat/>
    <w:uiPriority w:val="0"/>
    <w:rPr>
      <w:rFonts w:ascii="Times New Roman" w:eastAsia="宋体"/>
      <w:color w:val="auto"/>
      <w:kern w:val="2"/>
      <w:sz w:val="21"/>
      <w:szCs w:val="24"/>
    </w:rPr>
  </w:style>
  <w:style w:type="paragraph" w:customStyle="1" w:styleId="27">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1241</Words>
  <Characters>1591</Characters>
  <Lines>95</Lines>
  <Paragraphs>26</Paragraphs>
  <TotalTime>3</TotalTime>
  <ScaleCrop>false</ScaleCrop>
  <LinksUpToDate>false</LinksUpToDate>
  <CharactersWithSpaces>1646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2007-07-19T08:48:00Z</dcterms:created>
  <dc:creator>刘咏坪</dc:creator>
  <cp:lastModifiedBy>WPS_1591103659</cp:lastModifiedBy>
  <cp:lastPrinted>2018-04-20T08:51:00Z</cp:lastPrinted>
  <dcterms:modified xsi:type="dcterms:W3CDTF">2024-06-14T07:39:20Z</dcterms:modified>
  <dc:title>吉林电力股份有限公司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6EF5A39DF4604F5BB712ABE7765383BB_13</vt:lpwstr>
  </property>
</Properties>
</file>